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A2836" w14:textId="5DBFA412" w:rsidR="00132F6A" w:rsidRDefault="00132F6A" w:rsidP="00132F6A">
      <w:pPr>
        <w:spacing w:after="0" w:line="300" w:lineRule="atLeast"/>
        <w:jc w:val="center"/>
        <w:rPr>
          <w:rFonts w:ascii="Arial" w:hAnsi="Arial" w:cs="Arial"/>
          <w:b/>
          <w:sz w:val="28"/>
          <w:szCs w:val="28"/>
        </w:rPr>
      </w:pPr>
    </w:p>
    <w:p w14:paraId="7EF59793" w14:textId="77777777" w:rsidR="00132F6A" w:rsidRDefault="00132F6A" w:rsidP="00132F6A">
      <w:pPr>
        <w:spacing w:after="0" w:line="300" w:lineRule="atLeast"/>
        <w:jc w:val="center"/>
        <w:rPr>
          <w:rFonts w:ascii="Arial" w:hAnsi="Arial" w:cs="Arial"/>
          <w:b/>
          <w:sz w:val="28"/>
          <w:szCs w:val="28"/>
        </w:rPr>
      </w:pPr>
    </w:p>
    <w:p w14:paraId="2EC4DB43" w14:textId="77777777" w:rsidR="00132F6A" w:rsidRDefault="00132F6A" w:rsidP="00132F6A">
      <w:pPr>
        <w:spacing w:after="0" w:line="300" w:lineRule="atLeast"/>
        <w:jc w:val="center"/>
        <w:rPr>
          <w:rFonts w:ascii="Arial" w:hAnsi="Arial" w:cs="Arial"/>
          <w:b/>
          <w:sz w:val="28"/>
          <w:szCs w:val="28"/>
        </w:rPr>
      </w:pPr>
    </w:p>
    <w:p w14:paraId="511C72BB" w14:textId="77777777" w:rsidR="00132F6A" w:rsidRDefault="00132F6A" w:rsidP="00132F6A">
      <w:pPr>
        <w:spacing w:after="0" w:line="300" w:lineRule="atLeast"/>
        <w:jc w:val="center"/>
        <w:rPr>
          <w:rFonts w:ascii="Arial" w:hAnsi="Arial" w:cs="Arial"/>
          <w:b/>
          <w:sz w:val="28"/>
          <w:szCs w:val="28"/>
        </w:rPr>
      </w:pPr>
    </w:p>
    <w:p w14:paraId="4B6A3E29" w14:textId="77777777" w:rsidR="00F60A08" w:rsidRPr="0032327E" w:rsidRDefault="00873E12" w:rsidP="00132F6A">
      <w:pPr>
        <w:spacing w:after="0" w:line="300" w:lineRule="atLeast"/>
        <w:jc w:val="center"/>
        <w:rPr>
          <w:rFonts w:ascii="Arial" w:hAnsi="Arial" w:cs="Arial"/>
          <w:b/>
          <w:sz w:val="32"/>
          <w:szCs w:val="32"/>
        </w:rPr>
      </w:pPr>
      <w:r w:rsidRPr="0032327E">
        <w:rPr>
          <w:rFonts w:ascii="Arial" w:hAnsi="Arial" w:cs="Arial"/>
          <w:b/>
          <w:sz w:val="32"/>
          <w:szCs w:val="32"/>
        </w:rPr>
        <w:t>Small Houses in Multiple Occupation</w:t>
      </w:r>
    </w:p>
    <w:p w14:paraId="45DF76A6" w14:textId="77777777" w:rsidR="00B558D1" w:rsidRPr="0032327E" w:rsidRDefault="00B558D1" w:rsidP="00132F6A">
      <w:pPr>
        <w:spacing w:after="0" w:line="300" w:lineRule="atLeast"/>
        <w:jc w:val="center"/>
        <w:rPr>
          <w:rFonts w:ascii="Arial" w:hAnsi="Arial" w:cs="Arial"/>
          <w:b/>
          <w:sz w:val="32"/>
          <w:szCs w:val="32"/>
        </w:rPr>
      </w:pPr>
    </w:p>
    <w:p w14:paraId="28D78A49" w14:textId="77777777" w:rsidR="00B558D1" w:rsidRPr="0032327E" w:rsidRDefault="00B558D1" w:rsidP="00132F6A">
      <w:pPr>
        <w:spacing w:after="0" w:line="300" w:lineRule="atLeast"/>
        <w:jc w:val="center"/>
        <w:rPr>
          <w:rFonts w:ascii="Arial" w:hAnsi="Arial" w:cs="Arial"/>
          <w:b/>
          <w:sz w:val="32"/>
          <w:szCs w:val="32"/>
        </w:rPr>
      </w:pPr>
    </w:p>
    <w:p w14:paraId="6FE0CD09" w14:textId="77777777" w:rsidR="00B558D1" w:rsidRPr="0032327E" w:rsidRDefault="00B558D1" w:rsidP="00132F6A">
      <w:pPr>
        <w:spacing w:after="0" w:line="300" w:lineRule="atLeast"/>
        <w:jc w:val="center"/>
        <w:rPr>
          <w:rFonts w:ascii="Arial" w:hAnsi="Arial" w:cs="Arial"/>
          <w:b/>
          <w:sz w:val="32"/>
          <w:szCs w:val="32"/>
        </w:rPr>
      </w:pPr>
    </w:p>
    <w:p w14:paraId="6E6BAE81" w14:textId="454B8A0F" w:rsidR="0032327E" w:rsidRPr="0032327E" w:rsidRDefault="00873E12" w:rsidP="0032327E">
      <w:pPr>
        <w:spacing w:after="0" w:line="300" w:lineRule="atLeast"/>
        <w:jc w:val="center"/>
        <w:rPr>
          <w:rFonts w:ascii="Arial" w:hAnsi="Arial" w:cs="Arial"/>
          <w:b/>
          <w:sz w:val="32"/>
          <w:szCs w:val="32"/>
        </w:rPr>
      </w:pPr>
      <w:r w:rsidRPr="0032327E">
        <w:rPr>
          <w:rFonts w:ascii="Arial" w:hAnsi="Arial" w:cs="Arial"/>
          <w:b/>
          <w:sz w:val="32"/>
          <w:szCs w:val="32"/>
        </w:rPr>
        <w:t xml:space="preserve">Evidence to Justify the Purpose and Extent of </w:t>
      </w:r>
      <w:r w:rsidR="00C6030C" w:rsidRPr="0032327E">
        <w:rPr>
          <w:rFonts w:ascii="Arial" w:hAnsi="Arial" w:cs="Arial"/>
          <w:b/>
          <w:sz w:val="32"/>
          <w:szCs w:val="32"/>
        </w:rPr>
        <w:t xml:space="preserve">an </w:t>
      </w:r>
      <w:r w:rsidRPr="0032327E">
        <w:rPr>
          <w:rFonts w:ascii="Arial" w:hAnsi="Arial" w:cs="Arial"/>
          <w:b/>
          <w:sz w:val="32"/>
          <w:szCs w:val="32"/>
        </w:rPr>
        <w:t>Article 4 Direction</w:t>
      </w:r>
      <w:r w:rsidR="0032327E">
        <w:rPr>
          <w:rFonts w:ascii="Arial" w:hAnsi="Arial" w:cs="Arial"/>
          <w:b/>
          <w:sz w:val="32"/>
          <w:szCs w:val="32"/>
        </w:rPr>
        <w:t xml:space="preserve"> for </w:t>
      </w:r>
      <w:r w:rsidR="0032327E" w:rsidRPr="0032327E">
        <w:rPr>
          <w:rFonts w:ascii="Arial" w:hAnsi="Arial" w:cs="Arial"/>
          <w:b/>
          <w:sz w:val="32"/>
          <w:szCs w:val="32"/>
        </w:rPr>
        <w:t xml:space="preserve">Removal of Permitted Development Rights for the Change of Use from Use Class C3 (Dwellinghouses) </w:t>
      </w:r>
    </w:p>
    <w:p w14:paraId="1E26CD28" w14:textId="34128380" w:rsidR="00873E12" w:rsidRPr="0032327E" w:rsidRDefault="0032327E" w:rsidP="0032327E">
      <w:pPr>
        <w:spacing w:after="0" w:line="300" w:lineRule="atLeast"/>
        <w:jc w:val="center"/>
        <w:rPr>
          <w:rFonts w:ascii="Arial" w:hAnsi="Arial" w:cs="Arial"/>
          <w:b/>
          <w:sz w:val="32"/>
          <w:szCs w:val="32"/>
        </w:rPr>
      </w:pPr>
      <w:r w:rsidRPr="0032327E">
        <w:rPr>
          <w:rFonts w:ascii="Arial" w:hAnsi="Arial" w:cs="Arial"/>
          <w:b/>
          <w:sz w:val="32"/>
          <w:szCs w:val="32"/>
        </w:rPr>
        <w:t>to Use Class C4 (Houses in Multiple Occupation)</w:t>
      </w:r>
    </w:p>
    <w:p w14:paraId="519926CF" w14:textId="77777777" w:rsidR="00873E12" w:rsidRPr="0032327E" w:rsidRDefault="00873E12" w:rsidP="00132F6A">
      <w:pPr>
        <w:spacing w:after="0" w:line="300" w:lineRule="atLeast"/>
        <w:jc w:val="center"/>
        <w:rPr>
          <w:rFonts w:ascii="Arial" w:hAnsi="Arial" w:cs="Arial"/>
          <w:b/>
          <w:sz w:val="32"/>
          <w:szCs w:val="32"/>
        </w:rPr>
      </w:pPr>
    </w:p>
    <w:p w14:paraId="7B72C4A3" w14:textId="77777777" w:rsidR="00873E12" w:rsidRPr="0032327E" w:rsidRDefault="00873E12" w:rsidP="00132F6A">
      <w:pPr>
        <w:spacing w:after="0" w:line="300" w:lineRule="atLeast"/>
        <w:jc w:val="center"/>
        <w:rPr>
          <w:rFonts w:ascii="Arial" w:hAnsi="Arial" w:cs="Arial"/>
          <w:sz w:val="32"/>
          <w:szCs w:val="32"/>
        </w:rPr>
      </w:pPr>
    </w:p>
    <w:p w14:paraId="7CEEA190" w14:textId="77777777" w:rsidR="00873E12" w:rsidRPr="0032327E" w:rsidRDefault="00873E12" w:rsidP="00132F6A">
      <w:pPr>
        <w:spacing w:after="0" w:line="300" w:lineRule="atLeast"/>
        <w:jc w:val="center"/>
        <w:rPr>
          <w:rFonts w:ascii="Arial" w:hAnsi="Arial" w:cs="Arial"/>
          <w:sz w:val="32"/>
          <w:szCs w:val="32"/>
        </w:rPr>
      </w:pPr>
    </w:p>
    <w:p w14:paraId="69B9175B" w14:textId="77777777" w:rsidR="00873E12" w:rsidRPr="0032327E" w:rsidRDefault="00873E12" w:rsidP="00132F6A">
      <w:pPr>
        <w:spacing w:after="0" w:line="300" w:lineRule="atLeast"/>
        <w:jc w:val="center"/>
        <w:rPr>
          <w:rFonts w:ascii="Arial" w:hAnsi="Arial" w:cs="Arial"/>
          <w:sz w:val="32"/>
          <w:szCs w:val="32"/>
        </w:rPr>
      </w:pPr>
    </w:p>
    <w:p w14:paraId="7CC1FC9C" w14:textId="77777777" w:rsidR="00873E12" w:rsidRPr="0032327E" w:rsidRDefault="00873E12" w:rsidP="00132F6A">
      <w:pPr>
        <w:spacing w:after="0" w:line="300" w:lineRule="atLeast"/>
        <w:jc w:val="center"/>
        <w:rPr>
          <w:rFonts w:ascii="Arial" w:hAnsi="Arial" w:cs="Arial"/>
          <w:sz w:val="32"/>
          <w:szCs w:val="32"/>
        </w:rPr>
      </w:pPr>
    </w:p>
    <w:p w14:paraId="3904E4DC" w14:textId="77777777" w:rsidR="00873E12" w:rsidRPr="0032327E" w:rsidRDefault="00873E12" w:rsidP="00132F6A">
      <w:pPr>
        <w:spacing w:after="0" w:line="300" w:lineRule="atLeast"/>
        <w:jc w:val="center"/>
        <w:rPr>
          <w:rFonts w:ascii="Arial" w:hAnsi="Arial" w:cs="Arial"/>
          <w:sz w:val="32"/>
          <w:szCs w:val="32"/>
        </w:rPr>
      </w:pPr>
    </w:p>
    <w:p w14:paraId="0BCC8CE3" w14:textId="77777777" w:rsidR="00873E12" w:rsidRPr="0032327E" w:rsidRDefault="00873E12" w:rsidP="00132F6A">
      <w:pPr>
        <w:spacing w:after="0" w:line="300" w:lineRule="atLeast"/>
        <w:jc w:val="center"/>
        <w:rPr>
          <w:rFonts w:ascii="Arial" w:hAnsi="Arial" w:cs="Arial"/>
          <w:sz w:val="32"/>
          <w:szCs w:val="32"/>
        </w:rPr>
      </w:pPr>
    </w:p>
    <w:p w14:paraId="4145A673" w14:textId="77777777" w:rsidR="00873E12" w:rsidRPr="0032327E" w:rsidRDefault="00873E12" w:rsidP="00132F6A">
      <w:pPr>
        <w:spacing w:after="0" w:line="300" w:lineRule="atLeast"/>
        <w:jc w:val="center"/>
        <w:rPr>
          <w:rFonts w:ascii="Arial" w:hAnsi="Arial" w:cs="Arial"/>
          <w:sz w:val="32"/>
          <w:szCs w:val="32"/>
        </w:rPr>
      </w:pPr>
    </w:p>
    <w:p w14:paraId="280F5648" w14:textId="77777777" w:rsidR="00873E12" w:rsidRPr="0032327E" w:rsidRDefault="00873E12" w:rsidP="00132F6A">
      <w:pPr>
        <w:spacing w:after="0" w:line="300" w:lineRule="atLeast"/>
        <w:jc w:val="center"/>
        <w:rPr>
          <w:rFonts w:ascii="Arial" w:hAnsi="Arial" w:cs="Arial"/>
          <w:b/>
          <w:sz w:val="32"/>
          <w:szCs w:val="32"/>
        </w:rPr>
      </w:pPr>
      <w:r w:rsidRPr="0032327E">
        <w:rPr>
          <w:rFonts w:ascii="Arial" w:hAnsi="Arial" w:cs="Arial"/>
          <w:b/>
          <w:sz w:val="32"/>
          <w:szCs w:val="32"/>
        </w:rPr>
        <w:t>Hyndburn Borough Council</w:t>
      </w:r>
    </w:p>
    <w:p w14:paraId="6F6DCD16" w14:textId="77777777" w:rsidR="00211502" w:rsidRPr="0032327E" w:rsidRDefault="00211502" w:rsidP="00132F6A">
      <w:pPr>
        <w:spacing w:after="0" w:line="300" w:lineRule="atLeast"/>
        <w:jc w:val="center"/>
        <w:rPr>
          <w:rFonts w:ascii="Arial" w:hAnsi="Arial" w:cs="Arial"/>
          <w:b/>
          <w:sz w:val="32"/>
          <w:szCs w:val="32"/>
        </w:rPr>
      </w:pPr>
    </w:p>
    <w:p w14:paraId="6261C964" w14:textId="77777777" w:rsidR="008826B8" w:rsidRPr="0032327E" w:rsidRDefault="008826B8" w:rsidP="00132F6A">
      <w:pPr>
        <w:spacing w:after="0" w:line="300" w:lineRule="atLeast"/>
        <w:jc w:val="center"/>
        <w:rPr>
          <w:rFonts w:ascii="Arial" w:hAnsi="Arial" w:cs="Arial"/>
          <w:b/>
          <w:sz w:val="32"/>
          <w:szCs w:val="32"/>
        </w:rPr>
      </w:pPr>
    </w:p>
    <w:p w14:paraId="5C77D9AB" w14:textId="77777777" w:rsidR="008826B8" w:rsidRPr="0032327E" w:rsidRDefault="008826B8" w:rsidP="00132F6A">
      <w:pPr>
        <w:spacing w:after="0" w:line="300" w:lineRule="atLeast"/>
        <w:jc w:val="center"/>
        <w:rPr>
          <w:rFonts w:ascii="Arial" w:hAnsi="Arial" w:cs="Arial"/>
          <w:b/>
          <w:sz w:val="32"/>
          <w:szCs w:val="32"/>
        </w:rPr>
      </w:pPr>
    </w:p>
    <w:p w14:paraId="7CE654E0" w14:textId="77777777" w:rsidR="00211502" w:rsidRPr="0032327E" w:rsidRDefault="00211502" w:rsidP="00132F6A">
      <w:pPr>
        <w:spacing w:after="0" w:line="300" w:lineRule="atLeast"/>
        <w:jc w:val="center"/>
        <w:rPr>
          <w:rFonts w:ascii="Arial" w:hAnsi="Arial" w:cs="Arial"/>
          <w:b/>
          <w:sz w:val="32"/>
          <w:szCs w:val="32"/>
        </w:rPr>
      </w:pPr>
    </w:p>
    <w:p w14:paraId="2B531AD3" w14:textId="2A670FD8" w:rsidR="00211502" w:rsidRPr="0032327E" w:rsidRDefault="007C24EA" w:rsidP="00132F6A">
      <w:pPr>
        <w:spacing w:after="0" w:line="300" w:lineRule="atLeast"/>
        <w:jc w:val="center"/>
        <w:rPr>
          <w:rFonts w:ascii="Arial" w:hAnsi="Arial" w:cs="Arial"/>
          <w:b/>
          <w:sz w:val="32"/>
          <w:szCs w:val="32"/>
        </w:rPr>
      </w:pPr>
      <w:r w:rsidRPr="0032327E">
        <w:rPr>
          <w:rFonts w:ascii="Arial" w:hAnsi="Arial" w:cs="Arial"/>
          <w:b/>
          <w:sz w:val="32"/>
          <w:szCs w:val="32"/>
        </w:rPr>
        <w:t>February 2026</w:t>
      </w:r>
    </w:p>
    <w:p w14:paraId="2E38D776" w14:textId="77777777" w:rsidR="008E6FE3" w:rsidRDefault="008E6FE3" w:rsidP="00132F6A">
      <w:pPr>
        <w:spacing w:after="0" w:line="300" w:lineRule="atLeast"/>
        <w:jc w:val="center"/>
        <w:rPr>
          <w:rFonts w:ascii="Arial" w:hAnsi="Arial" w:cs="Arial"/>
          <w:sz w:val="28"/>
          <w:szCs w:val="28"/>
        </w:rPr>
      </w:pPr>
    </w:p>
    <w:p w14:paraId="55AE964B" w14:textId="77777777" w:rsidR="005A0C7E" w:rsidRPr="00132F6A" w:rsidRDefault="005A0C7E" w:rsidP="00132F6A">
      <w:pPr>
        <w:spacing w:after="0" w:line="300" w:lineRule="atLeast"/>
        <w:jc w:val="center"/>
        <w:rPr>
          <w:rFonts w:ascii="Arial" w:hAnsi="Arial" w:cs="Arial"/>
          <w:sz w:val="28"/>
          <w:szCs w:val="28"/>
        </w:rPr>
      </w:pPr>
    </w:p>
    <w:p w14:paraId="25C89F94" w14:textId="77777777" w:rsidR="008E6FE3" w:rsidRPr="005926EA" w:rsidRDefault="008E6FE3" w:rsidP="00132F6A">
      <w:pPr>
        <w:spacing w:after="0" w:line="300" w:lineRule="atLeast"/>
        <w:rPr>
          <w:rFonts w:ascii="Arial" w:hAnsi="Arial" w:cs="Arial"/>
          <w:color w:val="002060"/>
          <w:sz w:val="28"/>
          <w:szCs w:val="28"/>
        </w:rPr>
      </w:pPr>
      <w:r w:rsidRPr="00132F6A">
        <w:rPr>
          <w:rFonts w:ascii="Arial" w:hAnsi="Arial" w:cs="Arial"/>
          <w:sz w:val="28"/>
          <w:szCs w:val="28"/>
        </w:rPr>
        <w:br w:type="page"/>
      </w:r>
      <w:r w:rsidRPr="005926EA">
        <w:rPr>
          <w:rFonts w:ascii="Arial" w:hAnsi="Arial" w:cs="Arial"/>
          <w:b/>
          <w:color w:val="002060"/>
          <w:sz w:val="28"/>
          <w:szCs w:val="28"/>
        </w:rPr>
        <w:lastRenderedPageBreak/>
        <w:t xml:space="preserve">Executive Summary </w:t>
      </w:r>
      <w:r w:rsidR="005926EA" w:rsidRPr="005926EA">
        <w:rPr>
          <w:rFonts w:ascii="Arial" w:hAnsi="Arial" w:cs="Arial"/>
          <w:b/>
          <w:color w:val="002060"/>
          <w:sz w:val="28"/>
          <w:szCs w:val="28"/>
        </w:rPr>
        <w:t xml:space="preserve"> </w:t>
      </w:r>
    </w:p>
    <w:p w14:paraId="1C9EAC90" w14:textId="77777777" w:rsidR="00E810AA" w:rsidRPr="00E810AA" w:rsidRDefault="00E810AA" w:rsidP="00E810AA">
      <w:pPr>
        <w:spacing w:after="0" w:line="300" w:lineRule="atLeast"/>
        <w:rPr>
          <w:rFonts w:ascii="Arial" w:hAnsi="Arial" w:cs="Arial"/>
        </w:rPr>
      </w:pPr>
    </w:p>
    <w:p w14:paraId="22886C5C" w14:textId="77777777" w:rsidR="00364F91" w:rsidRPr="00364F91" w:rsidRDefault="00364F91" w:rsidP="00364F91">
      <w:pPr>
        <w:spacing w:after="0" w:line="300" w:lineRule="atLeast"/>
        <w:rPr>
          <w:rFonts w:ascii="Arial" w:hAnsi="Arial" w:cs="Arial"/>
        </w:rPr>
      </w:pPr>
      <w:r w:rsidRPr="00364F91">
        <w:rPr>
          <w:rFonts w:ascii="Arial" w:hAnsi="Arial" w:cs="Arial"/>
        </w:rPr>
        <w:t>The Council resolved in December 2024 to make a non-immediate Article 4 Direction removing the automatic right to change from Class C3 (dwellinghouse) to Class C4 (small HMO), as otherwise permitted under Schedule 2, Part 3, Class L of the Town and Country Planning (General Permitted Development) (England) Order 2015. Evidence prepared to support the Article 4 Direction identified that some areas of the Borough had higher concentrations of HMOs, lower property values, and greater levels of deprivation. It was therefore recommended that permitted development rights be withdrawn within the nine most affected wards: Barnfield, Central, Church, Clayton-le-Moors, Peel, Netherton, Rishton, Spring Hill, and St Andrew’s.</w:t>
      </w:r>
    </w:p>
    <w:p w14:paraId="66B1B8D2" w14:textId="77777777" w:rsidR="00364F91" w:rsidRPr="00364F91" w:rsidRDefault="00364F91" w:rsidP="00364F91">
      <w:pPr>
        <w:spacing w:after="0" w:line="300" w:lineRule="atLeast"/>
        <w:rPr>
          <w:rFonts w:ascii="Arial" w:hAnsi="Arial" w:cs="Arial"/>
        </w:rPr>
      </w:pPr>
    </w:p>
    <w:p w14:paraId="4B0C415B" w14:textId="77777777" w:rsidR="00364F91" w:rsidRPr="00364F91" w:rsidRDefault="00364F91" w:rsidP="00364F91">
      <w:pPr>
        <w:spacing w:after="0" w:line="300" w:lineRule="atLeast"/>
        <w:rPr>
          <w:rFonts w:ascii="Arial" w:hAnsi="Arial" w:cs="Arial"/>
        </w:rPr>
      </w:pPr>
      <w:r w:rsidRPr="00364F91">
        <w:rPr>
          <w:rFonts w:ascii="Arial" w:hAnsi="Arial" w:cs="Arial"/>
        </w:rPr>
        <w:t>The Council confirmed the March 2026 Article 4 Direction on 17 November 2025. The Direction will take effect on 15 March 2026.</w:t>
      </w:r>
    </w:p>
    <w:p w14:paraId="5A5F37E3" w14:textId="77777777" w:rsidR="00364F91" w:rsidRDefault="00364F91" w:rsidP="0032327E">
      <w:pPr>
        <w:spacing w:after="0" w:line="300" w:lineRule="atLeast"/>
        <w:rPr>
          <w:rFonts w:ascii="Arial" w:hAnsi="Arial" w:cs="Arial"/>
        </w:rPr>
      </w:pPr>
    </w:p>
    <w:p w14:paraId="57D6AE5D" w14:textId="30341D92" w:rsidR="0032327E" w:rsidRPr="00364F91" w:rsidRDefault="007C24EA" w:rsidP="0032327E">
      <w:pPr>
        <w:spacing w:after="0" w:line="300" w:lineRule="atLeast"/>
        <w:rPr>
          <w:rFonts w:ascii="Arial" w:hAnsi="Arial" w:cs="Arial"/>
        </w:rPr>
      </w:pPr>
      <w:r w:rsidRPr="00364F91">
        <w:rPr>
          <w:rFonts w:ascii="Arial" w:hAnsi="Arial" w:cs="Arial"/>
        </w:rPr>
        <w:t>This</w:t>
      </w:r>
      <w:r w:rsidR="0032327E" w:rsidRPr="00364F91">
        <w:rPr>
          <w:rFonts w:ascii="Arial" w:hAnsi="Arial" w:cs="Arial"/>
        </w:rPr>
        <w:t xml:space="preserve"> evidence document </w:t>
      </w:r>
      <w:r w:rsidR="0032327E" w:rsidRPr="00364F91">
        <w:rPr>
          <w:rFonts w:ascii="Arial" w:hAnsi="Arial" w:cs="Arial"/>
        </w:rPr>
        <w:t xml:space="preserve">sets out the policy context and supporting justification for </w:t>
      </w:r>
    </w:p>
    <w:p w14:paraId="1B571E84" w14:textId="476052AA" w:rsidR="00B406E6" w:rsidRDefault="0032327E" w:rsidP="0032327E">
      <w:pPr>
        <w:spacing w:after="0" w:line="300" w:lineRule="atLeast"/>
        <w:rPr>
          <w:rFonts w:ascii="Arial" w:hAnsi="Arial" w:cs="Arial"/>
          <w:bCs/>
        </w:rPr>
      </w:pPr>
      <w:r w:rsidRPr="00364F91">
        <w:rPr>
          <w:rFonts w:ascii="Arial" w:hAnsi="Arial" w:cs="Arial"/>
        </w:rPr>
        <w:t>the introduction of a new Article 4 direction</w:t>
      </w:r>
      <w:r w:rsidRPr="00364F91">
        <w:rPr>
          <w:rFonts w:ascii="Arial" w:hAnsi="Arial" w:cs="Arial"/>
        </w:rPr>
        <w:t xml:space="preserve"> </w:t>
      </w:r>
      <w:r w:rsidR="007C24EA" w:rsidRPr="00364F91">
        <w:rPr>
          <w:rFonts w:ascii="Arial" w:hAnsi="Arial" w:cs="Arial"/>
        </w:rPr>
        <w:t xml:space="preserve">covering houses in multiple occupation </w:t>
      </w:r>
      <w:r w:rsidRPr="00364F91">
        <w:rPr>
          <w:rFonts w:ascii="Arial" w:hAnsi="Arial" w:cs="Arial"/>
        </w:rPr>
        <w:t xml:space="preserve">(HMOs) </w:t>
      </w:r>
      <w:r w:rsidR="007C24EA" w:rsidRPr="00364F91">
        <w:rPr>
          <w:rFonts w:ascii="Arial" w:hAnsi="Arial" w:cs="Arial"/>
        </w:rPr>
        <w:t xml:space="preserve">in </w:t>
      </w:r>
      <w:r w:rsidR="00364F91">
        <w:rPr>
          <w:rFonts w:ascii="Arial" w:hAnsi="Arial" w:cs="Arial"/>
        </w:rPr>
        <w:t xml:space="preserve">the remaining </w:t>
      </w:r>
      <w:r w:rsidR="00B406E6" w:rsidRPr="00364F91">
        <w:rPr>
          <w:rFonts w:ascii="Arial" w:hAnsi="Arial" w:cs="Arial"/>
        </w:rPr>
        <w:t xml:space="preserve">7 </w:t>
      </w:r>
      <w:r w:rsidR="007C24EA" w:rsidRPr="00364F91">
        <w:rPr>
          <w:rFonts w:ascii="Arial" w:hAnsi="Arial" w:cs="Arial"/>
        </w:rPr>
        <w:t>Wards in the Borough</w:t>
      </w:r>
      <w:r w:rsidR="001008B2" w:rsidRPr="00364F91">
        <w:rPr>
          <w:rFonts w:ascii="Arial" w:hAnsi="Arial" w:cs="Arial"/>
        </w:rPr>
        <w:t>;</w:t>
      </w:r>
      <w:r w:rsidR="00B406E6" w:rsidRPr="00364F91">
        <w:rPr>
          <w:rFonts w:ascii="Arial" w:hAnsi="Arial" w:cs="Arial"/>
        </w:rPr>
        <w:t xml:space="preserve"> </w:t>
      </w:r>
      <w:r w:rsidR="00B406E6" w:rsidRPr="00364F91">
        <w:rPr>
          <w:rFonts w:ascii="Arial" w:hAnsi="Arial" w:cs="Arial"/>
          <w:bCs/>
        </w:rPr>
        <w:t xml:space="preserve">Altham, </w:t>
      </w:r>
      <w:proofErr w:type="spellStart"/>
      <w:r w:rsidR="00B406E6" w:rsidRPr="00364F91">
        <w:rPr>
          <w:rFonts w:ascii="Arial" w:hAnsi="Arial" w:cs="Arial"/>
          <w:bCs/>
        </w:rPr>
        <w:t>Baxenden</w:t>
      </w:r>
      <w:proofErr w:type="spellEnd"/>
      <w:r w:rsidR="00B406E6" w:rsidRPr="00364F91">
        <w:rPr>
          <w:rFonts w:ascii="Arial" w:hAnsi="Arial" w:cs="Arial"/>
          <w:bCs/>
        </w:rPr>
        <w:t xml:space="preserve">, Huncoat, Immanuel, </w:t>
      </w:r>
      <w:proofErr w:type="spellStart"/>
      <w:r w:rsidR="00B406E6" w:rsidRPr="00364F91">
        <w:rPr>
          <w:rFonts w:ascii="Arial" w:hAnsi="Arial" w:cs="Arial"/>
          <w:bCs/>
        </w:rPr>
        <w:t>Milnshaw</w:t>
      </w:r>
      <w:proofErr w:type="spellEnd"/>
      <w:r w:rsidR="00B406E6" w:rsidRPr="00364F91">
        <w:rPr>
          <w:rFonts w:ascii="Arial" w:hAnsi="Arial" w:cs="Arial"/>
          <w:bCs/>
        </w:rPr>
        <w:t>, Overton and St Oswalds.</w:t>
      </w:r>
    </w:p>
    <w:p w14:paraId="489B7924" w14:textId="77777777" w:rsidR="007C24EA" w:rsidRPr="00364F91" w:rsidRDefault="007C24EA" w:rsidP="00E810AA">
      <w:pPr>
        <w:spacing w:after="0" w:line="300" w:lineRule="atLeast"/>
        <w:rPr>
          <w:rFonts w:ascii="Arial" w:hAnsi="Arial" w:cs="Arial"/>
        </w:rPr>
      </w:pPr>
    </w:p>
    <w:p w14:paraId="0E4EC1D8" w14:textId="54C29641" w:rsidR="00873E12" w:rsidRPr="00364F91" w:rsidRDefault="001008B2" w:rsidP="00E810AA">
      <w:pPr>
        <w:spacing w:after="0" w:line="300" w:lineRule="atLeast"/>
        <w:rPr>
          <w:rFonts w:ascii="Arial" w:hAnsi="Arial" w:cs="Arial"/>
        </w:rPr>
      </w:pPr>
      <w:r w:rsidRPr="00364F91">
        <w:rPr>
          <w:rFonts w:ascii="Arial" w:hAnsi="Arial" w:cs="Arial"/>
        </w:rPr>
        <w:t>HMOs</w:t>
      </w:r>
      <w:r w:rsidR="00E67553" w:rsidRPr="00364F91">
        <w:rPr>
          <w:rFonts w:ascii="Arial" w:hAnsi="Arial" w:cs="Arial"/>
        </w:rPr>
        <w:t xml:space="preserve"> are properties rented out to at least 3 people who are not from one household but share facilities like a bathroom and kitchen. </w:t>
      </w:r>
      <w:r w:rsidR="00E810AA" w:rsidRPr="00364F91">
        <w:rPr>
          <w:rFonts w:ascii="Arial" w:hAnsi="Arial" w:cs="Arial"/>
        </w:rPr>
        <w:t xml:space="preserve"> </w:t>
      </w:r>
      <w:r w:rsidR="00E67553" w:rsidRPr="00364F91">
        <w:rPr>
          <w:rFonts w:ascii="Arial" w:hAnsi="Arial" w:cs="Arial"/>
        </w:rPr>
        <w:t>Most HMOs are conver</w:t>
      </w:r>
      <w:r w:rsidR="005926EA" w:rsidRPr="00364F91">
        <w:rPr>
          <w:rFonts w:ascii="Arial" w:hAnsi="Arial" w:cs="Arial"/>
        </w:rPr>
        <w:t>sions or sub-divisions of existing residential properties</w:t>
      </w:r>
      <w:r w:rsidR="00E67553" w:rsidRPr="00364F91">
        <w:rPr>
          <w:rFonts w:ascii="Arial" w:hAnsi="Arial" w:cs="Arial"/>
        </w:rPr>
        <w:t>.</w:t>
      </w:r>
      <w:r w:rsidR="00E810AA" w:rsidRPr="00364F91">
        <w:rPr>
          <w:rFonts w:ascii="Arial" w:hAnsi="Arial" w:cs="Arial"/>
        </w:rPr>
        <w:t xml:space="preserve"> </w:t>
      </w:r>
    </w:p>
    <w:p w14:paraId="7E6F316A" w14:textId="77777777" w:rsidR="00E810AA" w:rsidRPr="00364F91" w:rsidRDefault="00E810AA" w:rsidP="00E810AA">
      <w:pPr>
        <w:spacing w:after="0" w:line="300" w:lineRule="atLeast"/>
        <w:rPr>
          <w:rFonts w:ascii="Arial" w:hAnsi="Arial" w:cs="Arial"/>
        </w:rPr>
      </w:pPr>
    </w:p>
    <w:p w14:paraId="0AC7A752" w14:textId="0AAE4B0A" w:rsidR="00BF2661" w:rsidRPr="00364F91" w:rsidRDefault="00E67553" w:rsidP="00E810AA">
      <w:pPr>
        <w:spacing w:after="0" w:line="300" w:lineRule="atLeast"/>
        <w:rPr>
          <w:rFonts w:ascii="Arial" w:hAnsi="Arial" w:cs="Arial"/>
        </w:rPr>
      </w:pPr>
      <w:r w:rsidRPr="00364F91">
        <w:rPr>
          <w:rFonts w:ascii="Arial" w:hAnsi="Arial" w:cs="Arial"/>
        </w:rPr>
        <w:t>HMOs provide an important way of meeting the Borough</w:t>
      </w:r>
      <w:r w:rsidR="001008B2" w:rsidRPr="00364F91">
        <w:rPr>
          <w:rFonts w:ascii="Arial" w:hAnsi="Arial" w:cs="Arial"/>
        </w:rPr>
        <w:t>’s</w:t>
      </w:r>
      <w:r w:rsidRPr="00364F91">
        <w:rPr>
          <w:rFonts w:ascii="Arial" w:hAnsi="Arial" w:cs="Arial"/>
        </w:rPr>
        <w:t xml:space="preserve"> housing needs, particularly for people on low incomes, seasonal migrant workers, young professionals, and </w:t>
      </w:r>
      <w:r w:rsidR="007C24EA" w:rsidRPr="00364F91">
        <w:rPr>
          <w:rFonts w:ascii="Arial" w:hAnsi="Arial" w:cs="Arial"/>
        </w:rPr>
        <w:t xml:space="preserve">a </w:t>
      </w:r>
      <w:r w:rsidRPr="00364F91">
        <w:rPr>
          <w:rFonts w:ascii="Arial" w:hAnsi="Arial" w:cs="Arial"/>
        </w:rPr>
        <w:t>growing number of one person households</w:t>
      </w:r>
      <w:r w:rsidR="00BF2661" w:rsidRPr="00364F91">
        <w:rPr>
          <w:rFonts w:ascii="Arial" w:hAnsi="Arial" w:cs="Arial"/>
        </w:rPr>
        <w:t>, and referrals for homeless, ex-offenders</w:t>
      </w:r>
      <w:r w:rsidR="007C24EA" w:rsidRPr="00364F91">
        <w:rPr>
          <w:rFonts w:ascii="Arial" w:hAnsi="Arial" w:cs="Arial"/>
        </w:rPr>
        <w:t xml:space="preserve"> and</w:t>
      </w:r>
      <w:r w:rsidR="00BF2661" w:rsidRPr="00364F91">
        <w:rPr>
          <w:rFonts w:ascii="Arial" w:hAnsi="Arial" w:cs="Arial"/>
        </w:rPr>
        <w:t xml:space="preserve"> asylum seekers</w:t>
      </w:r>
      <w:r w:rsidRPr="00364F91">
        <w:rPr>
          <w:rFonts w:ascii="Arial" w:hAnsi="Arial" w:cs="Arial"/>
        </w:rPr>
        <w:t xml:space="preserve">. </w:t>
      </w:r>
      <w:r w:rsidR="00E810AA" w:rsidRPr="00364F91">
        <w:rPr>
          <w:rFonts w:ascii="Arial" w:hAnsi="Arial" w:cs="Arial"/>
        </w:rPr>
        <w:t xml:space="preserve"> </w:t>
      </w:r>
      <w:r w:rsidR="00BF2661" w:rsidRPr="00364F91">
        <w:rPr>
          <w:rFonts w:ascii="Arial" w:hAnsi="Arial" w:cs="Arial"/>
        </w:rPr>
        <w:t>However</w:t>
      </w:r>
      <w:r w:rsidRPr="00364F91">
        <w:rPr>
          <w:rFonts w:ascii="Arial" w:hAnsi="Arial" w:cs="Arial"/>
        </w:rPr>
        <w:t>, high concentration</w:t>
      </w:r>
      <w:r w:rsidR="001008B2" w:rsidRPr="00364F91">
        <w:rPr>
          <w:rFonts w:ascii="Arial" w:hAnsi="Arial" w:cs="Arial"/>
        </w:rPr>
        <w:t>s</w:t>
      </w:r>
      <w:r w:rsidRPr="00364F91">
        <w:rPr>
          <w:rFonts w:ascii="Arial" w:hAnsi="Arial" w:cs="Arial"/>
        </w:rPr>
        <w:t xml:space="preserve"> of HMOs can present a challenge to sustain mixed, balanced and sustainable communities and</w:t>
      </w:r>
      <w:r w:rsidR="007C24EA" w:rsidRPr="00364F91">
        <w:rPr>
          <w:rFonts w:ascii="Arial" w:hAnsi="Arial" w:cs="Arial"/>
        </w:rPr>
        <w:t xml:space="preserve"> have an</w:t>
      </w:r>
      <w:r w:rsidRPr="00364F91">
        <w:rPr>
          <w:rFonts w:ascii="Arial" w:hAnsi="Arial" w:cs="Arial"/>
        </w:rPr>
        <w:t xml:space="preserve"> impact on residential character and amenity.</w:t>
      </w:r>
    </w:p>
    <w:p w14:paraId="286AB95A" w14:textId="77777777" w:rsidR="00E810AA" w:rsidRPr="00364F91" w:rsidRDefault="00E810AA" w:rsidP="00E810AA">
      <w:pPr>
        <w:spacing w:after="0" w:line="300" w:lineRule="atLeast"/>
        <w:rPr>
          <w:rFonts w:ascii="Arial" w:hAnsi="Arial" w:cs="Arial"/>
        </w:rPr>
      </w:pPr>
    </w:p>
    <w:p w14:paraId="328FC574" w14:textId="5D7A4CA9" w:rsidR="001008B2" w:rsidRPr="00364F91" w:rsidRDefault="00BF2661" w:rsidP="00E810AA">
      <w:pPr>
        <w:spacing w:after="0" w:line="300" w:lineRule="atLeast"/>
        <w:rPr>
          <w:rFonts w:ascii="Arial" w:hAnsi="Arial" w:cs="Arial"/>
        </w:rPr>
      </w:pPr>
      <w:r w:rsidRPr="00364F91">
        <w:rPr>
          <w:rFonts w:ascii="Arial" w:hAnsi="Arial" w:cs="Arial"/>
        </w:rPr>
        <w:t xml:space="preserve">The paper provides evidence in support of the designation of </w:t>
      </w:r>
      <w:r w:rsidR="001008B2" w:rsidRPr="00364F91">
        <w:rPr>
          <w:rFonts w:ascii="Arial" w:hAnsi="Arial" w:cs="Arial"/>
        </w:rPr>
        <w:t>an</w:t>
      </w:r>
      <w:r w:rsidRPr="00364F91">
        <w:rPr>
          <w:rFonts w:ascii="Arial" w:hAnsi="Arial" w:cs="Arial"/>
        </w:rPr>
        <w:t xml:space="preserve"> Article 4 Direction </w:t>
      </w:r>
      <w:r w:rsidR="001008B2" w:rsidRPr="00364F91">
        <w:rPr>
          <w:rFonts w:ascii="Arial" w:eastAsia="SimSun" w:hAnsi="Arial" w:cs="Arial"/>
          <w:lang w:eastAsia="zh-CN"/>
        </w:rPr>
        <w:t xml:space="preserve">to remove the permitted development right that currently allows a property to change from Use Class C3 (dwellinghouse) to Use Class C4 (small House in Multiple Occupation) without planning permission, as set out in Schedule 2, Part 3, Class L of the Town and Country Planning (General Permitted Development) (England) Order 2015. This would apply within the wards of Altham, </w:t>
      </w:r>
      <w:proofErr w:type="spellStart"/>
      <w:r w:rsidR="001008B2" w:rsidRPr="00364F91">
        <w:rPr>
          <w:rFonts w:ascii="Arial" w:eastAsia="SimSun" w:hAnsi="Arial" w:cs="Arial"/>
          <w:lang w:eastAsia="zh-CN"/>
        </w:rPr>
        <w:t>Baxenden</w:t>
      </w:r>
      <w:proofErr w:type="spellEnd"/>
      <w:r w:rsidR="001008B2" w:rsidRPr="00364F91">
        <w:rPr>
          <w:rFonts w:ascii="Arial" w:eastAsia="SimSun" w:hAnsi="Arial" w:cs="Arial"/>
          <w:lang w:eastAsia="zh-CN"/>
        </w:rPr>
        <w:t xml:space="preserve">, Huncoat, Immanuel, </w:t>
      </w:r>
      <w:proofErr w:type="spellStart"/>
      <w:r w:rsidR="001008B2" w:rsidRPr="00364F91">
        <w:rPr>
          <w:rFonts w:ascii="Arial" w:eastAsia="SimSun" w:hAnsi="Arial" w:cs="Arial"/>
          <w:lang w:eastAsia="zh-CN"/>
        </w:rPr>
        <w:t>Milnshaw</w:t>
      </w:r>
      <w:proofErr w:type="spellEnd"/>
      <w:r w:rsidR="001008B2" w:rsidRPr="00364F91">
        <w:rPr>
          <w:rFonts w:ascii="Arial" w:eastAsia="SimSun" w:hAnsi="Arial" w:cs="Arial"/>
          <w:lang w:eastAsia="zh-CN"/>
        </w:rPr>
        <w:t>, Overton and St Oswalds.</w:t>
      </w:r>
    </w:p>
    <w:p w14:paraId="41098FF9" w14:textId="77777777" w:rsidR="001008B2" w:rsidRPr="00364F91" w:rsidRDefault="001008B2" w:rsidP="00E810AA">
      <w:pPr>
        <w:spacing w:after="0" w:line="300" w:lineRule="atLeast"/>
        <w:rPr>
          <w:rFonts w:ascii="Arial" w:hAnsi="Arial" w:cs="Arial"/>
        </w:rPr>
      </w:pPr>
    </w:p>
    <w:p w14:paraId="21556CE4" w14:textId="0C412DD9" w:rsidR="00BF2661" w:rsidRPr="00364F91" w:rsidRDefault="00BF2661" w:rsidP="00E810AA">
      <w:pPr>
        <w:spacing w:after="0" w:line="300" w:lineRule="atLeast"/>
        <w:rPr>
          <w:rFonts w:ascii="Arial" w:hAnsi="Arial" w:cs="Arial"/>
        </w:rPr>
      </w:pPr>
      <w:r w:rsidRPr="00364F91">
        <w:rPr>
          <w:rFonts w:ascii="Arial" w:hAnsi="Arial" w:cs="Arial"/>
        </w:rPr>
        <w:t xml:space="preserve">The Article 4 Direction will not stop changes of use but will provide a means of managing the concentration of HMOs </w:t>
      </w:r>
      <w:r w:rsidR="007C24EA" w:rsidRPr="00364F91">
        <w:rPr>
          <w:rFonts w:ascii="Arial" w:hAnsi="Arial" w:cs="Arial"/>
        </w:rPr>
        <w:t>to</w:t>
      </w:r>
      <w:r w:rsidRPr="00364F91">
        <w:rPr>
          <w:rFonts w:ascii="Arial" w:hAnsi="Arial" w:cs="Arial"/>
        </w:rPr>
        <w:t xml:space="preserve"> protect and enhance balanced communities. </w:t>
      </w:r>
      <w:r w:rsidR="00E810AA" w:rsidRPr="00364F91">
        <w:rPr>
          <w:rFonts w:ascii="Arial" w:hAnsi="Arial" w:cs="Arial"/>
        </w:rPr>
        <w:t xml:space="preserve"> </w:t>
      </w:r>
    </w:p>
    <w:p w14:paraId="653F2D55" w14:textId="77777777" w:rsidR="00BF2661" w:rsidRPr="00364F91" w:rsidRDefault="00BF2661" w:rsidP="00E810AA">
      <w:pPr>
        <w:spacing w:after="0" w:line="300" w:lineRule="atLeast"/>
        <w:rPr>
          <w:rFonts w:ascii="Arial" w:hAnsi="Arial" w:cs="Arial"/>
        </w:rPr>
      </w:pPr>
    </w:p>
    <w:p w14:paraId="43BB1329" w14:textId="5198DCE7" w:rsidR="00E810AA" w:rsidRPr="00364F91" w:rsidRDefault="008F5D9B" w:rsidP="00E810AA">
      <w:pPr>
        <w:spacing w:after="0" w:line="300" w:lineRule="atLeast"/>
        <w:rPr>
          <w:rFonts w:ascii="Arial" w:hAnsi="Arial" w:cs="Arial"/>
        </w:rPr>
      </w:pPr>
      <w:r w:rsidRPr="00364F91">
        <w:rPr>
          <w:rFonts w:ascii="Arial" w:hAnsi="Arial" w:cs="Arial"/>
        </w:rPr>
        <w:t xml:space="preserve">The communities in Hyndburn face a wide range of socio-economic challenges.  Many of Hyndburn’s Wards are within the top 10% of the most deprived wards in England when measured against a variety of indicators, and a similar number are also in the top 20% most deprived.  </w:t>
      </w:r>
      <w:r w:rsidR="00B6487B" w:rsidRPr="00364F91">
        <w:rPr>
          <w:rFonts w:ascii="Arial" w:hAnsi="Arial" w:cs="Arial"/>
        </w:rPr>
        <w:t xml:space="preserve">Over the past 20 years, Hyndburn’s position in the indices of deprivation has </w:t>
      </w:r>
      <w:r w:rsidR="00B6487B" w:rsidRPr="00364F91">
        <w:rPr>
          <w:rFonts w:ascii="Arial" w:hAnsi="Arial" w:cs="Arial"/>
        </w:rPr>
        <w:lastRenderedPageBreak/>
        <w:t>steadily fallen and the steady increase in the numbers a</w:t>
      </w:r>
      <w:r w:rsidR="008826B8" w:rsidRPr="00364F91">
        <w:rPr>
          <w:rFonts w:ascii="Arial" w:hAnsi="Arial" w:cs="Arial"/>
        </w:rPr>
        <w:t xml:space="preserve">nd concentrations of </w:t>
      </w:r>
      <w:r w:rsidR="00364F91" w:rsidRPr="00364F91">
        <w:rPr>
          <w:rFonts w:ascii="Arial" w:hAnsi="Arial" w:cs="Arial"/>
        </w:rPr>
        <w:t>HMOs</w:t>
      </w:r>
      <w:r w:rsidR="00B6487B" w:rsidRPr="00364F91">
        <w:rPr>
          <w:rFonts w:ascii="Arial" w:hAnsi="Arial" w:cs="Arial"/>
        </w:rPr>
        <w:t xml:space="preserve"> </w:t>
      </w:r>
      <w:r w:rsidR="007C24EA" w:rsidRPr="00364F91">
        <w:rPr>
          <w:rFonts w:ascii="Arial" w:hAnsi="Arial" w:cs="Arial"/>
        </w:rPr>
        <w:t>may have</w:t>
      </w:r>
      <w:r w:rsidR="00B6487B" w:rsidRPr="00364F91">
        <w:rPr>
          <w:rFonts w:ascii="Arial" w:hAnsi="Arial" w:cs="Arial"/>
        </w:rPr>
        <w:t xml:space="preserve"> contributed towards this and ma</w:t>
      </w:r>
      <w:r w:rsidR="007C24EA" w:rsidRPr="00364F91">
        <w:rPr>
          <w:rFonts w:ascii="Arial" w:hAnsi="Arial" w:cs="Arial"/>
        </w:rPr>
        <w:t>de</w:t>
      </w:r>
      <w:r w:rsidR="00B6487B" w:rsidRPr="00364F91">
        <w:rPr>
          <w:rFonts w:ascii="Arial" w:hAnsi="Arial" w:cs="Arial"/>
        </w:rPr>
        <w:t xml:space="preserve"> imp</w:t>
      </w:r>
      <w:r w:rsidR="008826B8" w:rsidRPr="00364F91">
        <w:rPr>
          <w:rFonts w:ascii="Arial" w:hAnsi="Arial" w:cs="Arial"/>
        </w:rPr>
        <w:t>rovements to Hyndburn’s rank</w:t>
      </w:r>
      <w:r w:rsidR="00B6487B" w:rsidRPr="00364F91">
        <w:rPr>
          <w:rFonts w:ascii="Arial" w:hAnsi="Arial" w:cs="Arial"/>
        </w:rPr>
        <w:t xml:space="preserve"> more difficult.  </w:t>
      </w:r>
    </w:p>
    <w:p w14:paraId="7ADADA57" w14:textId="77777777" w:rsidR="00E810AA" w:rsidRPr="00364F91" w:rsidRDefault="00E810AA" w:rsidP="00E810AA">
      <w:pPr>
        <w:spacing w:after="0" w:line="300" w:lineRule="atLeast"/>
        <w:rPr>
          <w:rFonts w:ascii="Arial" w:hAnsi="Arial" w:cs="Arial"/>
        </w:rPr>
      </w:pPr>
    </w:p>
    <w:p w14:paraId="38F742A1" w14:textId="79D93577" w:rsidR="00E810AA" w:rsidRPr="00364F91" w:rsidRDefault="00B6487B" w:rsidP="00E810AA">
      <w:pPr>
        <w:spacing w:after="0" w:line="300" w:lineRule="atLeast"/>
        <w:rPr>
          <w:rFonts w:ascii="Arial" w:hAnsi="Arial" w:cs="Arial"/>
        </w:rPr>
      </w:pPr>
      <w:r w:rsidRPr="00364F91">
        <w:rPr>
          <w:rFonts w:ascii="Arial" w:hAnsi="Arial" w:cs="Arial"/>
        </w:rPr>
        <w:t xml:space="preserve">It is no coincidence that </w:t>
      </w:r>
      <w:r w:rsidR="005E6319" w:rsidRPr="00364F91">
        <w:rPr>
          <w:rFonts w:ascii="Arial" w:hAnsi="Arial" w:cs="Arial"/>
        </w:rPr>
        <w:t xml:space="preserve">having one of the lowest property prices in the Country alongside a low wage economy attracts those seeking the high yield that can be gained from operating a smaller </w:t>
      </w:r>
      <w:r w:rsidR="00364F91" w:rsidRPr="00364F91">
        <w:rPr>
          <w:rFonts w:ascii="Arial" w:hAnsi="Arial" w:cs="Arial"/>
        </w:rPr>
        <w:t>HMO</w:t>
      </w:r>
      <w:r w:rsidR="005E6319" w:rsidRPr="00364F91">
        <w:rPr>
          <w:rFonts w:ascii="Arial" w:hAnsi="Arial" w:cs="Arial"/>
        </w:rPr>
        <w:t>. The significant decline in the number of vacant properties could be a signal that owners</w:t>
      </w:r>
      <w:r w:rsidRPr="00364F91">
        <w:rPr>
          <w:rFonts w:ascii="Arial" w:hAnsi="Arial" w:cs="Arial"/>
        </w:rPr>
        <w:t xml:space="preserve"> of vacant properties are now finding companies</w:t>
      </w:r>
      <w:r w:rsidR="00C5280A" w:rsidRPr="00364F91">
        <w:rPr>
          <w:rFonts w:ascii="Arial" w:hAnsi="Arial" w:cs="Arial"/>
        </w:rPr>
        <w:t xml:space="preserve"> and agencies</w:t>
      </w:r>
      <w:r w:rsidRPr="00364F91">
        <w:rPr>
          <w:rFonts w:ascii="Arial" w:hAnsi="Arial" w:cs="Arial"/>
        </w:rPr>
        <w:t xml:space="preserve"> keen to manage their properties to accommodate people with range of needs such as </w:t>
      </w:r>
      <w:r w:rsidR="005E6319" w:rsidRPr="00364F91">
        <w:rPr>
          <w:rFonts w:ascii="Arial" w:hAnsi="Arial" w:cs="Arial"/>
        </w:rPr>
        <w:t xml:space="preserve">those that cannot access the open market housing market any other way except through </w:t>
      </w:r>
      <w:r w:rsidR="003B07E8" w:rsidRPr="00364F91">
        <w:rPr>
          <w:rFonts w:ascii="Arial" w:hAnsi="Arial" w:cs="Arial"/>
        </w:rPr>
        <w:t>low-cost</w:t>
      </w:r>
      <w:r w:rsidR="005E6319" w:rsidRPr="00364F91">
        <w:rPr>
          <w:rFonts w:ascii="Arial" w:hAnsi="Arial" w:cs="Arial"/>
        </w:rPr>
        <w:t xml:space="preserve"> </w:t>
      </w:r>
      <w:r w:rsidR="00EB62DC" w:rsidRPr="00364F91">
        <w:rPr>
          <w:rFonts w:ascii="Arial" w:hAnsi="Arial" w:cs="Arial"/>
        </w:rPr>
        <w:t>rents or those who cannot work.</w:t>
      </w:r>
      <w:r w:rsidR="00C5280A" w:rsidRPr="00364F91">
        <w:rPr>
          <w:rFonts w:ascii="Arial" w:hAnsi="Arial" w:cs="Arial"/>
        </w:rPr>
        <w:t xml:space="preserve">  This</w:t>
      </w:r>
      <w:r w:rsidR="00E810AA" w:rsidRPr="00364F91">
        <w:rPr>
          <w:rFonts w:ascii="Arial" w:hAnsi="Arial" w:cs="Arial"/>
        </w:rPr>
        <w:t xml:space="preserve"> in turn places additional burdens and stress on</w:t>
      </w:r>
      <w:r w:rsidR="00C5280A" w:rsidRPr="00364F91">
        <w:rPr>
          <w:rFonts w:ascii="Arial" w:hAnsi="Arial" w:cs="Arial"/>
        </w:rPr>
        <w:t xml:space="preserve"> already deprived communities.</w:t>
      </w:r>
    </w:p>
    <w:p w14:paraId="00C3DA42" w14:textId="77777777" w:rsidR="00E810AA" w:rsidRPr="00364F91" w:rsidRDefault="00E810AA" w:rsidP="00E810AA">
      <w:pPr>
        <w:spacing w:after="0" w:line="300" w:lineRule="atLeast"/>
        <w:rPr>
          <w:rFonts w:ascii="Arial" w:hAnsi="Arial" w:cs="Arial"/>
        </w:rPr>
      </w:pPr>
    </w:p>
    <w:p w14:paraId="7498B931" w14:textId="2EB63AC3" w:rsidR="00E810AA" w:rsidRPr="00364F91" w:rsidRDefault="00EC5ACB" w:rsidP="00E810AA">
      <w:pPr>
        <w:spacing w:after="0" w:line="300" w:lineRule="atLeast"/>
        <w:rPr>
          <w:rFonts w:ascii="Arial" w:hAnsi="Arial" w:cs="Arial"/>
        </w:rPr>
      </w:pPr>
      <w:r w:rsidRPr="00364F91">
        <w:rPr>
          <w:rFonts w:ascii="Arial" w:hAnsi="Arial" w:cs="Arial"/>
        </w:rPr>
        <w:t>I</w:t>
      </w:r>
      <w:r w:rsidR="00120989" w:rsidRPr="00364F91">
        <w:rPr>
          <w:rFonts w:ascii="Arial" w:hAnsi="Arial" w:cs="Arial"/>
        </w:rPr>
        <w:t xml:space="preserve">n the absence of controls then the decline witnessed </w:t>
      </w:r>
      <w:r w:rsidRPr="00364F91">
        <w:rPr>
          <w:rFonts w:ascii="Arial" w:hAnsi="Arial" w:cs="Arial"/>
        </w:rPr>
        <w:t xml:space="preserve">in the levels of deprivation </w:t>
      </w:r>
      <w:r w:rsidR="00120989" w:rsidRPr="00364F91">
        <w:rPr>
          <w:rFonts w:ascii="Arial" w:hAnsi="Arial" w:cs="Arial"/>
        </w:rPr>
        <w:t>will only</w:t>
      </w:r>
      <w:r w:rsidR="00C5280A" w:rsidRPr="00364F91">
        <w:rPr>
          <w:rFonts w:ascii="Arial" w:hAnsi="Arial" w:cs="Arial"/>
        </w:rPr>
        <w:t xml:space="preserve"> continue, and for these reasons, a greater degree of</w:t>
      </w:r>
      <w:r w:rsidR="00E810AA" w:rsidRPr="00364F91">
        <w:rPr>
          <w:rFonts w:ascii="Arial" w:hAnsi="Arial" w:cs="Arial"/>
        </w:rPr>
        <w:t xml:space="preserve"> cont</w:t>
      </w:r>
      <w:r w:rsidR="00C5280A" w:rsidRPr="00364F91">
        <w:rPr>
          <w:rFonts w:ascii="Arial" w:hAnsi="Arial" w:cs="Arial"/>
        </w:rPr>
        <w:t>rol is needed through an Article 4 Direction which then provides for application of policy</w:t>
      </w:r>
      <w:r w:rsidR="00120989" w:rsidRPr="00364F91">
        <w:rPr>
          <w:rFonts w:ascii="Arial" w:hAnsi="Arial" w:cs="Arial"/>
        </w:rPr>
        <w:t>.</w:t>
      </w:r>
      <w:r w:rsidR="00C5280A" w:rsidRPr="00364F91">
        <w:rPr>
          <w:rFonts w:ascii="Arial" w:hAnsi="Arial" w:cs="Arial"/>
        </w:rPr>
        <w:t xml:space="preserve">  </w:t>
      </w:r>
      <w:r w:rsidR="008826B8" w:rsidRPr="00364F91">
        <w:rPr>
          <w:rFonts w:ascii="Arial" w:hAnsi="Arial" w:cs="Arial"/>
        </w:rPr>
        <w:t>The introduction of an Article 4 Direction is therefore recommended in</w:t>
      </w:r>
      <w:r w:rsidR="003B07E8" w:rsidRPr="00364F91">
        <w:rPr>
          <w:rFonts w:ascii="Arial" w:hAnsi="Arial" w:cs="Arial"/>
        </w:rPr>
        <w:t xml:space="preserve"> </w:t>
      </w:r>
      <w:r w:rsidR="00AF1EFE" w:rsidRPr="00364F91">
        <w:rPr>
          <w:rFonts w:ascii="Arial" w:hAnsi="Arial" w:cs="Arial"/>
        </w:rPr>
        <w:t>7</w:t>
      </w:r>
      <w:r w:rsidR="008826B8" w:rsidRPr="00364F91">
        <w:rPr>
          <w:rFonts w:ascii="Arial" w:hAnsi="Arial" w:cs="Arial"/>
        </w:rPr>
        <w:t xml:space="preserve"> </w:t>
      </w:r>
      <w:r w:rsidR="00364F91">
        <w:rPr>
          <w:rFonts w:ascii="Arial" w:hAnsi="Arial" w:cs="Arial"/>
        </w:rPr>
        <w:t>w</w:t>
      </w:r>
      <w:r w:rsidR="008826B8" w:rsidRPr="00364F91">
        <w:rPr>
          <w:rFonts w:ascii="Arial" w:hAnsi="Arial" w:cs="Arial"/>
        </w:rPr>
        <w:t>ards in Hyndburn</w:t>
      </w:r>
      <w:r w:rsidR="005926EA" w:rsidRPr="00364F91">
        <w:rPr>
          <w:rFonts w:ascii="Arial" w:hAnsi="Arial" w:cs="Arial"/>
        </w:rPr>
        <w:t xml:space="preserve"> – </w:t>
      </w:r>
      <w:r w:rsidRPr="00364F91">
        <w:rPr>
          <w:rFonts w:ascii="Arial" w:hAnsi="Arial" w:cs="Arial"/>
        </w:rPr>
        <w:t>Altham</w:t>
      </w:r>
      <w:r w:rsidR="005926EA" w:rsidRPr="00364F91">
        <w:rPr>
          <w:rFonts w:ascii="Arial" w:hAnsi="Arial" w:cs="Arial"/>
        </w:rPr>
        <w:t xml:space="preserve">, </w:t>
      </w:r>
      <w:proofErr w:type="spellStart"/>
      <w:r w:rsidRPr="00364F91">
        <w:rPr>
          <w:rFonts w:ascii="Arial" w:hAnsi="Arial" w:cs="Arial"/>
        </w:rPr>
        <w:t>Baxenden</w:t>
      </w:r>
      <w:proofErr w:type="spellEnd"/>
      <w:r w:rsidR="005926EA" w:rsidRPr="00364F91">
        <w:rPr>
          <w:rFonts w:ascii="Arial" w:hAnsi="Arial" w:cs="Arial"/>
        </w:rPr>
        <w:t xml:space="preserve">, </w:t>
      </w:r>
      <w:r w:rsidRPr="00364F91">
        <w:rPr>
          <w:rFonts w:ascii="Arial" w:hAnsi="Arial" w:cs="Arial"/>
        </w:rPr>
        <w:t xml:space="preserve">Huncoat, Immanuel, </w:t>
      </w:r>
      <w:proofErr w:type="spellStart"/>
      <w:r w:rsidRPr="00364F91">
        <w:rPr>
          <w:rFonts w:ascii="Arial" w:hAnsi="Arial" w:cs="Arial"/>
        </w:rPr>
        <w:t>Milnshaw</w:t>
      </w:r>
      <w:proofErr w:type="spellEnd"/>
      <w:r w:rsidRPr="00364F91">
        <w:rPr>
          <w:rFonts w:ascii="Arial" w:hAnsi="Arial" w:cs="Arial"/>
        </w:rPr>
        <w:t xml:space="preserve">, Overton and St Oswalds.  </w:t>
      </w:r>
    </w:p>
    <w:p w14:paraId="220574E1" w14:textId="77777777" w:rsidR="00120989" w:rsidRPr="00E810AA" w:rsidRDefault="00120989" w:rsidP="00E810AA">
      <w:pPr>
        <w:spacing w:after="0" w:line="300" w:lineRule="atLeast"/>
        <w:rPr>
          <w:rFonts w:ascii="Arial" w:hAnsi="Arial" w:cs="Arial"/>
        </w:rPr>
      </w:pPr>
    </w:p>
    <w:p w14:paraId="4661A64B" w14:textId="77777777" w:rsidR="007C1655" w:rsidRPr="00E810AA" w:rsidRDefault="007C1655" w:rsidP="00E810AA">
      <w:pPr>
        <w:spacing w:after="0" w:line="300" w:lineRule="atLeast"/>
        <w:rPr>
          <w:rFonts w:ascii="Arial" w:hAnsi="Arial" w:cs="Arial"/>
        </w:rPr>
      </w:pPr>
      <w:r w:rsidRPr="00E810AA">
        <w:rPr>
          <w:rFonts w:ascii="Arial" w:hAnsi="Arial" w:cs="Arial"/>
        </w:rPr>
        <w:br w:type="page"/>
      </w:r>
    </w:p>
    <w:sdt>
      <w:sdtPr>
        <w:rPr>
          <w:rFonts w:ascii="Arial" w:eastAsiaTheme="minorHAnsi" w:hAnsi="Arial" w:cs="Arial"/>
          <w:color w:val="auto"/>
          <w:sz w:val="24"/>
          <w:szCs w:val="24"/>
          <w:lang w:val="en-GB"/>
        </w:rPr>
        <w:id w:val="-269006547"/>
        <w:docPartObj>
          <w:docPartGallery w:val="Table of Contents"/>
          <w:docPartUnique/>
        </w:docPartObj>
      </w:sdtPr>
      <w:sdtEndPr>
        <w:rPr>
          <w:b/>
          <w:bCs/>
          <w:noProof/>
          <w:sz w:val="22"/>
          <w:szCs w:val="22"/>
        </w:rPr>
      </w:sdtEndPr>
      <w:sdtContent>
        <w:p w14:paraId="2B355AD2" w14:textId="77777777" w:rsidR="00085A56" w:rsidRPr="001272BE" w:rsidRDefault="00085A56" w:rsidP="00E810AA">
          <w:pPr>
            <w:pStyle w:val="TOCHeading"/>
            <w:spacing w:before="0" w:line="300" w:lineRule="atLeast"/>
            <w:rPr>
              <w:rFonts w:ascii="Arial" w:hAnsi="Arial" w:cs="Arial"/>
              <w:b/>
              <w:color w:val="000000" w:themeColor="text1"/>
              <w:sz w:val="24"/>
              <w:szCs w:val="24"/>
            </w:rPr>
          </w:pPr>
          <w:r w:rsidRPr="001272BE">
            <w:rPr>
              <w:rFonts w:ascii="Arial" w:hAnsi="Arial" w:cs="Arial"/>
              <w:b/>
              <w:color w:val="000000" w:themeColor="text1"/>
              <w:sz w:val="24"/>
              <w:szCs w:val="24"/>
            </w:rPr>
            <w:t>Contents</w:t>
          </w:r>
        </w:p>
        <w:p w14:paraId="38EA0062" w14:textId="77777777" w:rsidR="00085A56" w:rsidRPr="00E810AA" w:rsidRDefault="00085A56" w:rsidP="00E810AA">
          <w:pPr>
            <w:spacing w:after="0" w:line="300" w:lineRule="atLeast"/>
            <w:rPr>
              <w:rFonts w:ascii="Arial" w:hAnsi="Arial" w:cs="Arial"/>
              <w:lang w:val="en-US"/>
            </w:rPr>
          </w:pPr>
        </w:p>
        <w:p w14:paraId="4E00A363" w14:textId="0E407869" w:rsidR="00841801" w:rsidRDefault="00085A56">
          <w:pPr>
            <w:pStyle w:val="TOC1"/>
            <w:rPr>
              <w:rFonts w:eastAsiaTheme="minorEastAsia"/>
              <w:noProof/>
              <w:kern w:val="2"/>
              <w:sz w:val="24"/>
              <w:szCs w:val="24"/>
              <w:lang w:eastAsia="en-GB"/>
              <w14:ligatures w14:val="standardContextual"/>
            </w:rPr>
          </w:pPr>
          <w:r w:rsidRPr="00E810AA">
            <w:fldChar w:fldCharType="begin"/>
          </w:r>
          <w:r w:rsidRPr="00E810AA">
            <w:instrText xml:space="preserve"> TOC \o "1-3" \h \z \u </w:instrText>
          </w:r>
          <w:r w:rsidRPr="00E810AA">
            <w:fldChar w:fldCharType="separate"/>
          </w:r>
          <w:hyperlink w:anchor="_Toc223633616" w:history="1">
            <w:r w:rsidR="00841801" w:rsidRPr="00F32BA3">
              <w:rPr>
                <w:rStyle w:val="Hyperlink"/>
                <w:rFonts w:ascii="Arial" w:hAnsi="Arial" w:cs="Arial"/>
                <w:b/>
                <w:noProof/>
              </w:rPr>
              <w:t>1.</w:t>
            </w:r>
            <w:r w:rsidR="00841801">
              <w:rPr>
                <w:rFonts w:eastAsiaTheme="minorEastAsia"/>
                <w:noProof/>
                <w:kern w:val="2"/>
                <w:sz w:val="24"/>
                <w:szCs w:val="24"/>
                <w:lang w:eastAsia="en-GB"/>
                <w14:ligatures w14:val="standardContextual"/>
              </w:rPr>
              <w:tab/>
            </w:r>
            <w:r w:rsidR="00841801" w:rsidRPr="00F32BA3">
              <w:rPr>
                <w:rStyle w:val="Hyperlink"/>
                <w:rFonts w:ascii="Arial" w:hAnsi="Arial" w:cs="Arial"/>
                <w:b/>
                <w:noProof/>
              </w:rPr>
              <w:t>Purpose of this Report and Background</w:t>
            </w:r>
            <w:r w:rsidR="00841801">
              <w:rPr>
                <w:noProof/>
                <w:webHidden/>
              </w:rPr>
              <w:tab/>
            </w:r>
            <w:r w:rsidR="00841801">
              <w:rPr>
                <w:noProof/>
                <w:webHidden/>
              </w:rPr>
              <w:fldChar w:fldCharType="begin"/>
            </w:r>
            <w:r w:rsidR="00841801">
              <w:rPr>
                <w:noProof/>
                <w:webHidden/>
              </w:rPr>
              <w:instrText xml:space="preserve"> PAGEREF _Toc223633616 \h </w:instrText>
            </w:r>
            <w:r w:rsidR="00841801">
              <w:rPr>
                <w:noProof/>
                <w:webHidden/>
              </w:rPr>
            </w:r>
            <w:r w:rsidR="00841801">
              <w:rPr>
                <w:noProof/>
                <w:webHidden/>
              </w:rPr>
              <w:fldChar w:fldCharType="separate"/>
            </w:r>
            <w:r w:rsidR="001272BE">
              <w:rPr>
                <w:noProof/>
                <w:webHidden/>
              </w:rPr>
              <w:t>5</w:t>
            </w:r>
            <w:r w:rsidR="00841801">
              <w:rPr>
                <w:noProof/>
                <w:webHidden/>
              </w:rPr>
              <w:fldChar w:fldCharType="end"/>
            </w:r>
          </w:hyperlink>
        </w:p>
        <w:p w14:paraId="0988DBCB" w14:textId="7CDBBF6F" w:rsidR="00841801" w:rsidRDefault="00841801">
          <w:pPr>
            <w:pStyle w:val="TOC1"/>
            <w:rPr>
              <w:rFonts w:eastAsiaTheme="minorEastAsia"/>
              <w:noProof/>
              <w:kern w:val="2"/>
              <w:sz w:val="24"/>
              <w:szCs w:val="24"/>
              <w:lang w:eastAsia="en-GB"/>
              <w14:ligatures w14:val="standardContextual"/>
            </w:rPr>
          </w:pPr>
          <w:hyperlink w:anchor="_Toc223633617" w:history="1">
            <w:r w:rsidRPr="00F32BA3">
              <w:rPr>
                <w:rStyle w:val="Hyperlink"/>
                <w:rFonts w:ascii="Arial" w:hAnsi="Arial" w:cs="Arial"/>
                <w:b/>
                <w:noProof/>
              </w:rPr>
              <w:t>2.</w:t>
            </w:r>
            <w:r>
              <w:rPr>
                <w:rFonts w:eastAsiaTheme="minorEastAsia"/>
                <w:noProof/>
                <w:kern w:val="2"/>
                <w:sz w:val="24"/>
                <w:szCs w:val="24"/>
                <w:lang w:eastAsia="en-GB"/>
                <w14:ligatures w14:val="standardContextual"/>
              </w:rPr>
              <w:tab/>
            </w:r>
            <w:r w:rsidRPr="00F32BA3">
              <w:rPr>
                <w:rStyle w:val="Hyperlink"/>
                <w:rFonts w:ascii="Arial" w:hAnsi="Arial" w:cs="Arial"/>
                <w:b/>
                <w:noProof/>
              </w:rPr>
              <w:t>Background of Legislation</w:t>
            </w:r>
            <w:r>
              <w:rPr>
                <w:noProof/>
                <w:webHidden/>
              </w:rPr>
              <w:tab/>
            </w:r>
            <w:r>
              <w:rPr>
                <w:noProof/>
                <w:webHidden/>
              </w:rPr>
              <w:fldChar w:fldCharType="begin"/>
            </w:r>
            <w:r>
              <w:rPr>
                <w:noProof/>
                <w:webHidden/>
              </w:rPr>
              <w:instrText xml:space="preserve"> PAGEREF _Toc223633617 \h </w:instrText>
            </w:r>
            <w:r>
              <w:rPr>
                <w:noProof/>
                <w:webHidden/>
              </w:rPr>
            </w:r>
            <w:r>
              <w:rPr>
                <w:noProof/>
                <w:webHidden/>
              </w:rPr>
              <w:fldChar w:fldCharType="separate"/>
            </w:r>
            <w:r w:rsidR="001272BE">
              <w:rPr>
                <w:noProof/>
                <w:webHidden/>
              </w:rPr>
              <w:t>7</w:t>
            </w:r>
            <w:r>
              <w:rPr>
                <w:noProof/>
                <w:webHidden/>
              </w:rPr>
              <w:fldChar w:fldCharType="end"/>
            </w:r>
          </w:hyperlink>
        </w:p>
        <w:p w14:paraId="6264B184" w14:textId="1D524243" w:rsidR="00841801" w:rsidRDefault="00841801">
          <w:pPr>
            <w:pStyle w:val="TOC1"/>
            <w:rPr>
              <w:rFonts w:eastAsiaTheme="minorEastAsia"/>
              <w:noProof/>
              <w:kern w:val="2"/>
              <w:sz w:val="24"/>
              <w:szCs w:val="24"/>
              <w:lang w:eastAsia="en-GB"/>
              <w14:ligatures w14:val="standardContextual"/>
            </w:rPr>
          </w:pPr>
          <w:hyperlink w:anchor="_Toc223633618" w:history="1">
            <w:r w:rsidRPr="00F32BA3">
              <w:rPr>
                <w:rStyle w:val="Hyperlink"/>
                <w:rFonts w:ascii="Arial" w:hAnsi="Arial" w:cs="Arial"/>
                <w:b/>
                <w:noProof/>
              </w:rPr>
              <w:t>3.</w:t>
            </w:r>
            <w:r>
              <w:rPr>
                <w:rFonts w:eastAsiaTheme="minorEastAsia"/>
                <w:noProof/>
                <w:kern w:val="2"/>
                <w:sz w:val="24"/>
                <w:szCs w:val="24"/>
                <w:lang w:eastAsia="en-GB"/>
                <w14:ligatures w14:val="standardContextual"/>
              </w:rPr>
              <w:tab/>
            </w:r>
            <w:r w:rsidRPr="00F32BA3">
              <w:rPr>
                <w:rStyle w:val="Hyperlink"/>
                <w:rFonts w:ascii="Arial" w:hAnsi="Arial" w:cs="Arial"/>
                <w:b/>
                <w:noProof/>
              </w:rPr>
              <w:t>House in Multiple Occupation (HMO)</w:t>
            </w:r>
            <w:r>
              <w:rPr>
                <w:noProof/>
                <w:webHidden/>
              </w:rPr>
              <w:tab/>
            </w:r>
            <w:r>
              <w:rPr>
                <w:noProof/>
                <w:webHidden/>
              </w:rPr>
              <w:fldChar w:fldCharType="begin"/>
            </w:r>
            <w:r>
              <w:rPr>
                <w:noProof/>
                <w:webHidden/>
              </w:rPr>
              <w:instrText xml:space="preserve"> PAGEREF _Toc223633618 \h </w:instrText>
            </w:r>
            <w:r>
              <w:rPr>
                <w:noProof/>
                <w:webHidden/>
              </w:rPr>
            </w:r>
            <w:r>
              <w:rPr>
                <w:noProof/>
                <w:webHidden/>
              </w:rPr>
              <w:fldChar w:fldCharType="separate"/>
            </w:r>
            <w:r w:rsidR="001272BE">
              <w:rPr>
                <w:noProof/>
                <w:webHidden/>
              </w:rPr>
              <w:t>9</w:t>
            </w:r>
            <w:r>
              <w:rPr>
                <w:noProof/>
                <w:webHidden/>
              </w:rPr>
              <w:fldChar w:fldCharType="end"/>
            </w:r>
          </w:hyperlink>
        </w:p>
        <w:p w14:paraId="4BFB0CB0" w14:textId="5375DFF2" w:rsidR="00841801" w:rsidRDefault="00841801">
          <w:pPr>
            <w:pStyle w:val="TOC1"/>
            <w:rPr>
              <w:rFonts w:eastAsiaTheme="minorEastAsia"/>
              <w:noProof/>
              <w:kern w:val="2"/>
              <w:sz w:val="24"/>
              <w:szCs w:val="24"/>
              <w:lang w:eastAsia="en-GB"/>
              <w14:ligatures w14:val="standardContextual"/>
            </w:rPr>
          </w:pPr>
          <w:hyperlink w:anchor="_Toc223633619" w:history="1">
            <w:r w:rsidRPr="00F32BA3">
              <w:rPr>
                <w:rStyle w:val="Hyperlink"/>
                <w:rFonts w:ascii="Arial" w:hAnsi="Arial" w:cs="Arial"/>
                <w:b/>
                <w:noProof/>
              </w:rPr>
              <w:t>4.</w:t>
            </w:r>
            <w:r>
              <w:rPr>
                <w:rFonts w:eastAsiaTheme="minorEastAsia"/>
                <w:noProof/>
                <w:kern w:val="2"/>
                <w:sz w:val="24"/>
                <w:szCs w:val="24"/>
                <w:lang w:eastAsia="en-GB"/>
                <w14:ligatures w14:val="standardContextual"/>
              </w:rPr>
              <w:tab/>
            </w:r>
            <w:r w:rsidRPr="00F32BA3">
              <w:rPr>
                <w:rStyle w:val="Hyperlink"/>
                <w:rFonts w:ascii="Arial" w:hAnsi="Arial" w:cs="Arial"/>
                <w:b/>
                <w:noProof/>
              </w:rPr>
              <w:t>Relevant Planning Policies and guidance</w:t>
            </w:r>
            <w:r>
              <w:rPr>
                <w:noProof/>
                <w:webHidden/>
              </w:rPr>
              <w:tab/>
            </w:r>
            <w:r>
              <w:rPr>
                <w:noProof/>
                <w:webHidden/>
              </w:rPr>
              <w:fldChar w:fldCharType="begin"/>
            </w:r>
            <w:r>
              <w:rPr>
                <w:noProof/>
                <w:webHidden/>
              </w:rPr>
              <w:instrText xml:space="preserve"> PAGEREF _Toc223633619 \h </w:instrText>
            </w:r>
            <w:r>
              <w:rPr>
                <w:noProof/>
                <w:webHidden/>
              </w:rPr>
            </w:r>
            <w:r>
              <w:rPr>
                <w:noProof/>
                <w:webHidden/>
              </w:rPr>
              <w:fldChar w:fldCharType="separate"/>
            </w:r>
            <w:r w:rsidR="001272BE">
              <w:rPr>
                <w:noProof/>
                <w:webHidden/>
              </w:rPr>
              <w:t>13</w:t>
            </w:r>
            <w:r>
              <w:rPr>
                <w:noProof/>
                <w:webHidden/>
              </w:rPr>
              <w:fldChar w:fldCharType="end"/>
            </w:r>
          </w:hyperlink>
        </w:p>
        <w:p w14:paraId="79229FD0" w14:textId="378C3A9C" w:rsidR="00841801" w:rsidRDefault="00841801">
          <w:pPr>
            <w:pStyle w:val="TOC1"/>
            <w:rPr>
              <w:rFonts w:eastAsiaTheme="minorEastAsia"/>
              <w:noProof/>
              <w:kern w:val="2"/>
              <w:sz w:val="24"/>
              <w:szCs w:val="24"/>
              <w:lang w:eastAsia="en-GB"/>
              <w14:ligatures w14:val="standardContextual"/>
            </w:rPr>
          </w:pPr>
          <w:hyperlink w:anchor="_Toc223633620" w:history="1">
            <w:r w:rsidRPr="00F32BA3">
              <w:rPr>
                <w:rStyle w:val="Hyperlink"/>
                <w:rFonts w:ascii="Arial" w:hAnsi="Arial" w:cs="Arial"/>
                <w:b/>
                <w:noProof/>
              </w:rPr>
              <w:t>5.</w:t>
            </w:r>
            <w:r>
              <w:rPr>
                <w:rFonts w:eastAsiaTheme="minorEastAsia"/>
                <w:noProof/>
                <w:kern w:val="2"/>
                <w:sz w:val="24"/>
                <w:szCs w:val="24"/>
                <w:lang w:eastAsia="en-GB"/>
                <w14:ligatures w14:val="standardContextual"/>
              </w:rPr>
              <w:tab/>
            </w:r>
            <w:r w:rsidRPr="00F32BA3">
              <w:rPr>
                <w:rStyle w:val="Hyperlink"/>
                <w:rFonts w:ascii="Arial" w:hAnsi="Arial" w:cs="Arial"/>
                <w:b/>
                <w:noProof/>
              </w:rPr>
              <w:t>HMOs in Hyndburn</w:t>
            </w:r>
            <w:r>
              <w:rPr>
                <w:noProof/>
                <w:webHidden/>
              </w:rPr>
              <w:tab/>
            </w:r>
            <w:r>
              <w:rPr>
                <w:noProof/>
                <w:webHidden/>
              </w:rPr>
              <w:fldChar w:fldCharType="begin"/>
            </w:r>
            <w:r>
              <w:rPr>
                <w:noProof/>
                <w:webHidden/>
              </w:rPr>
              <w:instrText xml:space="preserve"> PAGEREF _Toc223633620 \h </w:instrText>
            </w:r>
            <w:r>
              <w:rPr>
                <w:noProof/>
                <w:webHidden/>
              </w:rPr>
            </w:r>
            <w:r>
              <w:rPr>
                <w:noProof/>
                <w:webHidden/>
              </w:rPr>
              <w:fldChar w:fldCharType="separate"/>
            </w:r>
            <w:r w:rsidR="001272BE">
              <w:rPr>
                <w:noProof/>
                <w:webHidden/>
              </w:rPr>
              <w:t>16</w:t>
            </w:r>
            <w:r>
              <w:rPr>
                <w:noProof/>
                <w:webHidden/>
              </w:rPr>
              <w:fldChar w:fldCharType="end"/>
            </w:r>
          </w:hyperlink>
        </w:p>
        <w:p w14:paraId="4059F3A3" w14:textId="40839E44" w:rsidR="00841801" w:rsidRDefault="00841801">
          <w:pPr>
            <w:pStyle w:val="TOC1"/>
            <w:rPr>
              <w:rFonts w:eastAsiaTheme="minorEastAsia"/>
              <w:noProof/>
              <w:kern w:val="2"/>
              <w:sz w:val="24"/>
              <w:szCs w:val="24"/>
              <w:lang w:eastAsia="en-GB"/>
              <w14:ligatures w14:val="standardContextual"/>
            </w:rPr>
          </w:pPr>
          <w:hyperlink w:anchor="_Toc223633621" w:history="1">
            <w:r w:rsidRPr="00F32BA3">
              <w:rPr>
                <w:rStyle w:val="Hyperlink"/>
                <w:rFonts w:ascii="Arial" w:hAnsi="Arial" w:cs="Arial"/>
                <w:b/>
                <w:noProof/>
              </w:rPr>
              <w:t>6.</w:t>
            </w:r>
            <w:r>
              <w:rPr>
                <w:rFonts w:eastAsiaTheme="minorEastAsia"/>
                <w:noProof/>
                <w:kern w:val="2"/>
                <w:sz w:val="24"/>
                <w:szCs w:val="24"/>
                <w:lang w:eastAsia="en-GB"/>
                <w14:ligatures w14:val="standardContextual"/>
              </w:rPr>
              <w:tab/>
            </w:r>
            <w:r w:rsidRPr="00F32BA3">
              <w:rPr>
                <w:rStyle w:val="Hyperlink"/>
                <w:rFonts w:ascii="Arial" w:hAnsi="Arial" w:cs="Arial"/>
                <w:b/>
                <w:noProof/>
              </w:rPr>
              <w:t>Economic and Social Issues Associated with HMOs in Hyndburn</w:t>
            </w:r>
            <w:r>
              <w:rPr>
                <w:noProof/>
                <w:webHidden/>
              </w:rPr>
              <w:tab/>
            </w:r>
            <w:r>
              <w:rPr>
                <w:noProof/>
                <w:webHidden/>
              </w:rPr>
              <w:fldChar w:fldCharType="begin"/>
            </w:r>
            <w:r>
              <w:rPr>
                <w:noProof/>
                <w:webHidden/>
              </w:rPr>
              <w:instrText xml:space="preserve"> PAGEREF _Toc223633621 \h </w:instrText>
            </w:r>
            <w:r>
              <w:rPr>
                <w:noProof/>
                <w:webHidden/>
              </w:rPr>
            </w:r>
            <w:r>
              <w:rPr>
                <w:noProof/>
                <w:webHidden/>
              </w:rPr>
              <w:fldChar w:fldCharType="separate"/>
            </w:r>
            <w:r w:rsidR="001272BE">
              <w:rPr>
                <w:noProof/>
                <w:webHidden/>
              </w:rPr>
              <w:t>20</w:t>
            </w:r>
            <w:r>
              <w:rPr>
                <w:noProof/>
                <w:webHidden/>
              </w:rPr>
              <w:fldChar w:fldCharType="end"/>
            </w:r>
          </w:hyperlink>
        </w:p>
        <w:p w14:paraId="55E47E78" w14:textId="0FCEBAA4" w:rsidR="00841801" w:rsidRDefault="00841801">
          <w:pPr>
            <w:pStyle w:val="TOC1"/>
            <w:rPr>
              <w:rFonts w:eastAsiaTheme="minorEastAsia"/>
              <w:noProof/>
              <w:kern w:val="2"/>
              <w:sz w:val="24"/>
              <w:szCs w:val="24"/>
              <w:lang w:eastAsia="en-GB"/>
              <w14:ligatures w14:val="standardContextual"/>
            </w:rPr>
          </w:pPr>
          <w:hyperlink w:anchor="_Toc223633622" w:history="1">
            <w:r w:rsidRPr="00F32BA3">
              <w:rPr>
                <w:rStyle w:val="Hyperlink"/>
                <w:rFonts w:ascii="Arial" w:hAnsi="Arial" w:cs="Arial"/>
                <w:b/>
                <w:noProof/>
              </w:rPr>
              <w:t>7</w:t>
            </w:r>
            <w:r>
              <w:rPr>
                <w:rStyle w:val="Hyperlink"/>
                <w:rFonts w:ascii="Arial" w:hAnsi="Arial" w:cs="Arial"/>
                <w:b/>
                <w:noProof/>
              </w:rPr>
              <w:t>.</w:t>
            </w:r>
            <w:r>
              <w:rPr>
                <w:rFonts w:eastAsiaTheme="minorEastAsia"/>
                <w:noProof/>
                <w:kern w:val="2"/>
                <w:sz w:val="24"/>
                <w:szCs w:val="24"/>
                <w:lang w:eastAsia="en-GB"/>
                <w14:ligatures w14:val="standardContextual"/>
              </w:rPr>
              <w:tab/>
            </w:r>
            <w:r w:rsidRPr="00F32BA3">
              <w:rPr>
                <w:rStyle w:val="Hyperlink"/>
                <w:rFonts w:ascii="Arial" w:hAnsi="Arial" w:cs="Arial"/>
                <w:b/>
                <w:noProof/>
              </w:rPr>
              <w:t>Appropriate Area for the Article 4 Direction</w:t>
            </w:r>
            <w:r>
              <w:rPr>
                <w:noProof/>
                <w:webHidden/>
              </w:rPr>
              <w:tab/>
            </w:r>
            <w:r>
              <w:rPr>
                <w:noProof/>
                <w:webHidden/>
              </w:rPr>
              <w:fldChar w:fldCharType="begin"/>
            </w:r>
            <w:r>
              <w:rPr>
                <w:noProof/>
                <w:webHidden/>
              </w:rPr>
              <w:instrText xml:space="preserve"> PAGEREF _Toc223633622 \h </w:instrText>
            </w:r>
            <w:r>
              <w:rPr>
                <w:noProof/>
                <w:webHidden/>
              </w:rPr>
            </w:r>
            <w:r>
              <w:rPr>
                <w:noProof/>
                <w:webHidden/>
              </w:rPr>
              <w:fldChar w:fldCharType="separate"/>
            </w:r>
            <w:r w:rsidR="001272BE">
              <w:rPr>
                <w:noProof/>
                <w:webHidden/>
              </w:rPr>
              <w:t>41</w:t>
            </w:r>
            <w:r>
              <w:rPr>
                <w:noProof/>
                <w:webHidden/>
              </w:rPr>
              <w:fldChar w:fldCharType="end"/>
            </w:r>
          </w:hyperlink>
        </w:p>
        <w:p w14:paraId="39D49BA9" w14:textId="5063AD22" w:rsidR="00841801" w:rsidRDefault="00841801">
          <w:pPr>
            <w:pStyle w:val="TOC1"/>
            <w:rPr>
              <w:rFonts w:eastAsiaTheme="minorEastAsia"/>
              <w:noProof/>
              <w:kern w:val="2"/>
              <w:sz w:val="24"/>
              <w:szCs w:val="24"/>
              <w:lang w:eastAsia="en-GB"/>
              <w14:ligatures w14:val="standardContextual"/>
            </w:rPr>
          </w:pPr>
          <w:hyperlink w:anchor="_Toc223633623" w:history="1">
            <w:r w:rsidRPr="00F32BA3">
              <w:rPr>
                <w:rStyle w:val="Hyperlink"/>
                <w:rFonts w:ascii="Arial" w:hAnsi="Arial" w:cs="Arial"/>
                <w:b/>
                <w:noProof/>
              </w:rPr>
              <w:t>8</w:t>
            </w:r>
            <w:r>
              <w:rPr>
                <w:rStyle w:val="Hyperlink"/>
                <w:rFonts w:ascii="Arial" w:hAnsi="Arial" w:cs="Arial"/>
                <w:b/>
                <w:noProof/>
              </w:rPr>
              <w:t>.</w:t>
            </w:r>
            <w:r>
              <w:rPr>
                <w:rFonts w:eastAsiaTheme="minorEastAsia"/>
                <w:noProof/>
                <w:kern w:val="2"/>
                <w:sz w:val="24"/>
                <w:szCs w:val="24"/>
                <w:lang w:eastAsia="en-GB"/>
                <w14:ligatures w14:val="standardContextual"/>
              </w:rPr>
              <w:tab/>
            </w:r>
            <w:r w:rsidRPr="00F32BA3">
              <w:rPr>
                <w:rStyle w:val="Hyperlink"/>
                <w:rFonts w:ascii="Arial" w:hAnsi="Arial" w:cs="Arial"/>
                <w:b/>
                <w:noProof/>
              </w:rPr>
              <w:t>Procedure and Further Implications</w:t>
            </w:r>
            <w:r>
              <w:rPr>
                <w:noProof/>
                <w:webHidden/>
              </w:rPr>
              <w:tab/>
            </w:r>
            <w:r>
              <w:rPr>
                <w:noProof/>
                <w:webHidden/>
              </w:rPr>
              <w:fldChar w:fldCharType="begin"/>
            </w:r>
            <w:r>
              <w:rPr>
                <w:noProof/>
                <w:webHidden/>
              </w:rPr>
              <w:instrText xml:space="preserve"> PAGEREF _Toc223633623 \h </w:instrText>
            </w:r>
            <w:r>
              <w:rPr>
                <w:noProof/>
                <w:webHidden/>
              </w:rPr>
            </w:r>
            <w:r>
              <w:rPr>
                <w:noProof/>
                <w:webHidden/>
              </w:rPr>
              <w:fldChar w:fldCharType="separate"/>
            </w:r>
            <w:r w:rsidR="001272BE">
              <w:rPr>
                <w:noProof/>
                <w:webHidden/>
              </w:rPr>
              <w:t>42</w:t>
            </w:r>
            <w:r>
              <w:rPr>
                <w:noProof/>
                <w:webHidden/>
              </w:rPr>
              <w:fldChar w:fldCharType="end"/>
            </w:r>
          </w:hyperlink>
        </w:p>
        <w:p w14:paraId="2C64629C" w14:textId="657D8612" w:rsidR="00841801" w:rsidRDefault="00841801">
          <w:pPr>
            <w:pStyle w:val="TOC1"/>
            <w:rPr>
              <w:rFonts w:eastAsiaTheme="minorEastAsia"/>
              <w:noProof/>
              <w:kern w:val="2"/>
              <w:sz w:val="24"/>
              <w:szCs w:val="24"/>
              <w:lang w:eastAsia="en-GB"/>
              <w14:ligatures w14:val="standardContextual"/>
            </w:rPr>
          </w:pPr>
          <w:hyperlink w:anchor="_Toc223633624" w:history="1">
            <w:r w:rsidRPr="00F32BA3">
              <w:rPr>
                <w:rStyle w:val="Hyperlink"/>
                <w:rFonts w:ascii="Arial" w:hAnsi="Arial" w:cs="Arial"/>
                <w:b/>
                <w:noProof/>
              </w:rPr>
              <w:t>9.</w:t>
            </w:r>
            <w:r>
              <w:rPr>
                <w:rFonts w:eastAsiaTheme="minorEastAsia"/>
                <w:noProof/>
                <w:kern w:val="2"/>
                <w:sz w:val="24"/>
                <w:szCs w:val="24"/>
                <w:lang w:eastAsia="en-GB"/>
                <w14:ligatures w14:val="standardContextual"/>
              </w:rPr>
              <w:tab/>
            </w:r>
            <w:r w:rsidRPr="00F32BA3">
              <w:rPr>
                <w:rStyle w:val="Hyperlink"/>
                <w:rFonts w:ascii="Arial" w:hAnsi="Arial" w:cs="Arial"/>
                <w:b/>
                <w:noProof/>
              </w:rPr>
              <w:t>Conclusions</w:t>
            </w:r>
            <w:r>
              <w:rPr>
                <w:noProof/>
                <w:webHidden/>
              </w:rPr>
              <w:tab/>
            </w:r>
            <w:r>
              <w:rPr>
                <w:noProof/>
                <w:webHidden/>
              </w:rPr>
              <w:fldChar w:fldCharType="begin"/>
            </w:r>
            <w:r>
              <w:rPr>
                <w:noProof/>
                <w:webHidden/>
              </w:rPr>
              <w:instrText xml:space="preserve"> PAGEREF _Toc223633624 \h </w:instrText>
            </w:r>
            <w:r>
              <w:rPr>
                <w:noProof/>
                <w:webHidden/>
              </w:rPr>
            </w:r>
            <w:r>
              <w:rPr>
                <w:noProof/>
                <w:webHidden/>
              </w:rPr>
              <w:fldChar w:fldCharType="separate"/>
            </w:r>
            <w:r w:rsidR="001272BE">
              <w:rPr>
                <w:noProof/>
                <w:webHidden/>
              </w:rPr>
              <w:t>44</w:t>
            </w:r>
            <w:r>
              <w:rPr>
                <w:noProof/>
                <w:webHidden/>
              </w:rPr>
              <w:fldChar w:fldCharType="end"/>
            </w:r>
          </w:hyperlink>
        </w:p>
        <w:p w14:paraId="2227C7B3" w14:textId="1666D17F" w:rsidR="00841801" w:rsidRDefault="00841801">
          <w:pPr>
            <w:pStyle w:val="TOC1"/>
            <w:rPr>
              <w:rFonts w:eastAsiaTheme="minorEastAsia"/>
              <w:noProof/>
              <w:kern w:val="2"/>
              <w:sz w:val="24"/>
              <w:szCs w:val="24"/>
              <w:lang w:eastAsia="en-GB"/>
              <w14:ligatures w14:val="standardContextual"/>
            </w:rPr>
          </w:pPr>
          <w:hyperlink w:anchor="_Toc223633625" w:history="1">
            <w:r w:rsidRPr="00F32BA3">
              <w:rPr>
                <w:rStyle w:val="Hyperlink"/>
                <w:rFonts w:ascii="Arial" w:hAnsi="Arial" w:cs="Arial"/>
                <w:b/>
                <w:noProof/>
              </w:rPr>
              <w:t>Appendix 1.  Glossary of Terms and Acronyms</w:t>
            </w:r>
            <w:r>
              <w:rPr>
                <w:noProof/>
                <w:webHidden/>
              </w:rPr>
              <w:tab/>
            </w:r>
            <w:r>
              <w:rPr>
                <w:noProof/>
                <w:webHidden/>
              </w:rPr>
              <w:fldChar w:fldCharType="begin"/>
            </w:r>
            <w:r>
              <w:rPr>
                <w:noProof/>
                <w:webHidden/>
              </w:rPr>
              <w:instrText xml:space="preserve"> PAGEREF _Toc223633625 \h </w:instrText>
            </w:r>
            <w:r>
              <w:rPr>
                <w:noProof/>
                <w:webHidden/>
              </w:rPr>
            </w:r>
            <w:r>
              <w:rPr>
                <w:noProof/>
                <w:webHidden/>
              </w:rPr>
              <w:fldChar w:fldCharType="separate"/>
            </w:r>
            <w:r w:rsidR="001272BE">
              <w:rPr>
                <w:noProof/>
                <w:webHidden/>
              </w:rPr>
              <w:t>45</w:t>
            </w:r>
            <w:r>
              <w:rPr>
                <w:noProof/>
                <w:webHidden/>
              </w:rPr>
              <w:fldChar w:fldCharType="end"/>
            </w:r>
          </w:hyperlink>
        </w:p>
        <w:p w14:paraId="6B24ED60" w14:textId="1AB0927C" w:rsidR="00841801" w:rsidRDefault="00841801">
          <w:pPr>
            <w:pStyle w:val="TOC1"/>
            <w:rPr>
              <w:rFonts w:eastAsiaTheme="minorEastAsia"/>
              <w:noProof/>
              <w:kern w:val="2"/>
              <w:sz w:val="24"/>
              <w:szCs w:val="24"/>
              <w:lang w:eastAsia="en-GB"/>
              <w14:ligatures w14:val="standardContextual"/>
            </w:rPr>
          </w:pPr>
          <w:hyperlink w:anchor="_Toc223633626" w:history="1">
            <w:r w:rsidRPr="00F32BA3">
              <w:rPr>
                <w:rStyle w:val="Hyperlink"/>
                <w:rFonts w:ascii="Arial" w:hAnsi="Arial" w:cs="Arial"/>
                <w:b/>
                <w:noProof/>
              </w:rPr>
              <w:t>Appendix 2.   Customer First Analysis</w:t>
            </w:r>
            <w:r>
              <w:rPr>
                <w:noProof/>
                <w:webHidden/>
              </w:rPr>
              <w:tab/>
            </w:r>
            <w:r>
              <w:rPr>
                <w:noProof/>
                <w:webHidden/>
              </w:rPr>
              <w:fldChar w:fldCharType="begin"/>
            </w:r>
            <w:r>
              <w:rPr>
                <w:noProof/>
                <w:webHidden/>
              </w:rPr>
              <w:instrText xml:space="preserve"> PAGEREF _Toc223633626 \h </w:instrText>
            </w:r>
            <w:r>
              <w:rPr>
                <w:noProof/>
                <w:webHidden/>
              </w:rPr>
            </w:r>
            <w:r>
              <w:rPr>
                <w:noProof/>
                <w:webHidden/>
              </w:rPr>
              <w:fldChar w:fldCharType="separate"/>
            </w:r>
            <w:r w:rsidR="001272BE">
              <w:rPr>
                <w:noProof/>
                <w:webHidden/>
              </w:rPr>
              <w:t>47</w:t>
            </w:r>
            <w:r>
              <w:rPr>
                <w:noProof/>
                <w:webHidden/>
              </w:rPr>
              <w:fldChar w:fldCharType="end"/>
            </w:r>
          </w:hyperlink>
        </w:p>
        <w:p w14:paraId="02B3636E" w14:textId="5997B079" w:rsidR="00841801" w:rsidRDefault="00841801">
          <w:pPr>
            <w:pStyle w:val="TOC1"/>
            <w:rPr>
              <w:rFonts w:eastAsiaTheme="minorEastAsia"/>
              <w:noProof/>
              <w:kern w:val="2"/>
              <w:sz w:val="24"/>
              <w:szCs w:val="24"/>
              <w:lang w:eastAsia="en-GB"/>
              <w14:ligatures w14:val="standardContextual"/>
            </w:rPr>
          </w:pPr>
          <w:hyperlink w:anchor="_Toc223633627" w:history="1">
            <w:r w:rsidRPr="00F32BA3">
              <w:rPr>
                <w:rStyle w:val="Hyperlink"/>
                <w:rFonts w:ascii="Arial" w:hAnsi="Arial" w:cs="Arial"/>
                <w:b/>
                <w:bCs/>
                <w:noProof/>
              </w:rPr>
              <w:t>Appendix 3 – Indices of Deprivation Lancashire</w:t>
            </w:r>
            <w:r>
              <w:rPr>
                <w:noProof/>
                <w:webHidden/>
              </w:rPr>
              <w:tab/>
            </w:r>
            <w:r>
              <w:rPr>
                <w:noProof/>
                <w:webHidden/>
              </w:rPr>
              <w:fldChar w:fldCharType="begin"/>
            </w:r>
            <w:r>
              <w:rPr>
                <w:noProof/>
                <w:webHidden/>
              </w:rPr>
              <w:instrText xml:space="preserve"> PAGEREF _Toc223633627 \h </w:instrText>
            </w:r>
            <w:r>
              <w:rPr>
                <w:noProof/>
                <w:webHidden/>
              </w:rPr>
            </w:r>
            <w:r>
              <w:rPr>
                <w:noProof/>
                <w:webHidden/>
              </w:rPr>
              <w:fldChar w:fldCharType="separate"/>
            </w:r>
            <w:r w:rsidR="001272BE">
              <w:rPr>
                <w:noProof/>
                <w:webHidden/>
              </w:rPr>
              <w:t>51</w:t>
            </w:r>
            <w:r>
              <w:rPr>
                <w:noProof/>
                <w:webHidden/>
              </w:rPr>
              <w:fldChar w:fldCharType="end"/>
            </w:r>
          </w:hyperlink>
        </w:p>
        <w:p w14:paraId="36FA27A3" w14:textId="333DAF3F" w:rsidR="00841801" w:rsidRDefault="00841801">
          <w:pPr>
            <w:pStyle w:val="TOC1"/>
            <w:rPr>
              <w:rFonts w:eastAsiaTheme="minorEastAsia"/>
              <w:noProof/>
              <w:kern w:val="2"/>
              <w:sz w:val="24"/>
              <w:szCs w:val="24"/>
              <w:lang w:eastAsia="en-GB"/>
              <w14:ligatures w14:val="standardContextual"/>
            </w:rPr>
          </w:pPr>
          <w:hyperlink w:anchor="_Toc223633628" w:history="1">
            <w:r w:rsidRPr="00F32BA3">
              <w:rPr>
                <w:rStyle w:val="Hyperlink"/>
                <w:rFonts w:ascii="Arial" w:hAnsi="Arial" w:cs="Arial"/>
                <w:b/>
                <w:bCs/>
                <w:noProof/>
              </w:rPr>
              <w:t>Appendix 4 – Indices of Deprivation by Ward</w:t>
            </w:r>
            <w:r>
              <w:rPr>
                <w:noProof/>
                <w:webHidden/>
              </w:rPr>
              <w:tab/>
            </w:r>
            <w:r>
              <w:rPr>
                <w:noProof/>
                <w:webHidden/>
              </w:rPr>
              <w:fldChar w:fldCharType="begin"/>
            </w:r>
            <w:r>
              <w:rPr>
                <w:noProof/>
                <w:webHidden/>
              </w:rPr>
              <w:instrText xml:space="preserve"> PAGEREF _Toc223633628 \h </w:instrText>
            </w:r>
            <w:r>
              <w:rPr>
                <w:noProof/>
                <w:webHidden/>
              </w:rPr>
            </w:r>
            <w:r>
              <w:rPr>
                <w:noProof/>
                <w:webHidden/>
              </w:rPr>
              <w:fldChar w:fldCharType="separate"/>
            </w:r>
            <w:r w:rsidR="001272BE">
              <w:rPr>
                <w:noProof/>
                <w:webHidden/>
              </w:rPr>
              <w:t>52</w:t>
            </w:r>
            <w:r>
              <w:rPr>
                <w:noProof/>
                <w:webHidden/>
              </w:rPr>
              <w:fldChar w:fldCharType="end"/>
            </w:r>
          </w:hyperlink>
        </w:p>
        <w:p w14:paraId="2BE141F8" w14:textId="35CF664B" w:rsidR="00085A56" w:rsidRPr="00E810AA" w:rsidRDefault="00085A56" w:rsidP="00E810AA">
          <w:pPr>
            <w:spacing w:after="0" w:line="300" w:lineRule="atLeast"/>
            <w:rPr>
              <w:rFonts w:ascii="Arial" w:hAnsi="Arial" w:cs="Arial"/>
            </w:rPr>
          </w:pPr>
          <w:r w:rsidRPr="00E810AA">
            <w:rPr>
              <w:rFonts w:ascii="Arial" w:hAnsi="Arial" w:cs="Arial"/>
              <w:b/>
              <w:bCs/>
              <w:noProof/>
            </w:rPr>
            <w:fldChar w:fldCharType="end"/>
          </w:r>
        </w:p>
      </w:sdtContent>
    </w:sdt>
    <w:p w14:paraId="7BAC98FD" w14:textId="77777777" w:rsidR="00085A56" w:rsidRPr="00E810AA" w:rsidRDefault="00085A56" w:rsidP="00E810AA">
      <w:pPr>
        <w:spacing w:after="0" w:line="300" w:lineRule="atLeast"/>
        <w:rPr>
          <w:rFonts w:ascii="Arial" w:hAnsi="Arial" w:cs="Arial"/>
        </w:rPr>
      </w:pPr>
    </w:p>
    <w:p w14:paraId="27761035" w14:textId="74A0DB02" w:rsidR="00873E12" w:rsidRPr="00941306" w:rsidRDefault="00873E12" w:rsidP="00E810AA">
      <w:pPr>
        <w:pStyle w:val="Heading1"/>
        <w:numPr>
          <w:ilvl w:val="0"/>
          <w:numId w:val="1"/>
        </w:numPr>
        <w:spacing w:before="0" w:line="300" w:lineRule="atLeast"/>
        <w:ind w:hanging="720"/>
        <w:rPr>
          <w:rFonts w:ascii="Arial" w:hAnsi="Arial" w:cs="Arial"/>
          <w:b/>
          <w:sz w:val="24"/>
          <w:szCs w:val="24"/>
        </w:rPr>
      </w:pPr>
      <w:r w:rsidRPr="00E810AA">
        <w:rPr>
          <w:rFonts w:ascii="Arial" w:hAnsi="Arial" w:cs="Arial"/>
          <w:sz w:val="22"/>
          <w:szCs w:val="22"/>
        </w:rPr>
        <w:br w:type="page"/>
      </w:r>
      <w:bookmarkStart w:id="0" w:name="_Toc223633616"/>
      <w:r w:rsidRPr="00941306">
        <w:rPr>
          <w:rFonts w:ascii="Arial" w:hAnsi="Arial" w:cs="Arial"/>
          <w:b/>
          <w:sz w:val="24"/>
          <w:szCs w:val="24"/>
        </w:rPr>
        <w:lastRenderedPageBreak/>
        <w:t>Purpose of this Report and Background</w:t>
      </w:r>
      <w:bookmarkEnd w:id="0"/>
      <w:r w:rsidRPr="00941306">
        <w:rPr>
          <w:rFonts w:ascii="Arial" w:hAnsi="Arial" w:cs="Arial"/>
          <w:b/>
          <w:sz w:val="24"/>
          <w:szCs w:val="24"/>
        </w:rPr>
        <w:t xml:space="preserve"> </w:t>
      </w:r>
    </w:p>
    <w:p w14:paraId="7758831D" w14:textId="77777777" w:rsidR="00873E12" w:rsidRPr="00E810AA" w:rsidRDefault="00873E12" w:rsidP="00E810AA">
      <w:pPr>
        <w:pStyle w:val="ListParagraph"/>
        <w:spacing w:after="0" w:line="300" w:lineRule="atLeast"/>
        <w:ind w:left="709" w:hanging="709"/>
        <w:rPr>
          <w:rFonts w:ascii="Arial" w:hAnsi="Arial" w:cs="Arial"/>
        </w:rPr>
      </w:pPr>
    </w:p>
    <w:p w14:paraId="17C9AAF1" w14:textId="77777777" w:rsidR="00021603" w:rsidRDefault="00021603" w:rsidP="00021603">
      <w:pPr>
        <w:spacing w:after="0" w:line="300" w:lineRule="atLeast"/>
        <w:ind w:left="720" w:hanging="720"/>
        <w:rPr>
          <w:rFonts w:ascii="Arial" w:hAnsi="Arial" w:cs="Arial"/>
        </w:rPr>
      </w:pPr>
      <w:r>
        <w:rPr>
          <w:rFonts w:ascii="Arial" w:hAnsi="Arial" w:cs="Arial"/>
        </w:rPr>
        <w:t>1.1</w:t>
      </w:r>
      <w:r>
        <w:rPr>
          <w:rFonts w:ascii="Arial" w:hAnsi="Arial" w:cs="Arial"/>
        </w:rPr>
        <w:tab/>
      </w:r>
      <w:r w:rsidR="00364F91" w:rsidRPr="00021603">
        <w:rPr>
          <w:rFonts w:ascii="Arial" w:hAnsi="Arial" w:cs="Arial"/>
        </w:rPr>
        <w:t>The Council resolved in December 2024 to make a non-immediate Article 4 Direction removing the automatic right to change from Class C3 (dwellinghouse) to Class C4 (small HMO), as otherwise permitted under Schedule 2, Part 3, Class L of the Town and Country Planning (General Permitted Development) (England) Order 2015. Evidence prepared to support the Article 4 Direction identified that some areas of the Borough had higher concentrations of HMOs, lower property values, and greater levels of deprivation. It was therefore recommended that permitted development rights be withdrawn within the nine most affected wards: Barnfield, Central, Church, Clayton-le-Moors, Peel, Netherton, Rishton, Spring Hill, and St Andrew’s.</w:t>
      </w:r>
    </w:p>
    <w:p w14:paraId="22A50E54" w14:textId="77777777" w:rsidR="00021603" w:rsidRDefault="00021603" w:rsidP="00021603">
      <w:pPr>
        <w:spacing w:after="0" w:line="300" w:lineRule="atLeast"/>
        <w:ind w:left="720" w:hanging="720"/>
        <w:rPr>
          <w:rFonts w:ascii="Arial" w:hAnsi="Arial" w:cs="Arial"/>
        </w:rPr>
      </w:pPr>
    </w:p>
    <w:p w14:paraId="3AD6E4A8" w14:textId="650CF55E" w:rsidR="00364F91" w:rsidRPr="00021603" w:rsidRDefault="00021603" w:rsidP="00021603">
      <w:pPr>
        <w:spacing w:after="0" w:line="300" w:lineRule="atLeast"/>
        <w:ind w:left="720" w:hanging="720"/>
        <w:rPr>
          <w:rFonts w:ascii="Arial" w:hAnsi="Arial" w:cs="Arial"/>
        </w:rPr>
      </w:pPr>
      <w:r>
        <w:rPr>
          <w:rFonts w:ascii="Arial" w:hAnsi="Arial" w:cs="Arial"/>
        </w:rPr>
        <w:t>1.2</w:t>
      </w:r>
      <w:r>
        <w:rPr>
          <w:rFonts w:ascii="Arial" w:hAnsi="Arial" w:cs="Arial"/>
        </w:rPr>
        <w:tab/>
      </w:r>
      <w:r w:rsidR="00364F91" w:rsidRPr="00021603">
        <w:rPr>
          <w:rFonts w:ascii="Arial" w:hAnsi="Arial" w:cs="Arial"/>
        </w:rPr>
        <w:t>The Council confirmed the March 2026 Article 4 Direction on 17 November 2025. The Direction will take effect on 15 March 2026.</w:t>
      </w:r>
    </w:p>
    <w:p w14:paraId="119DBF3B" w14:textId="77777777" w:rsidR="00021603" w:rsidRDefault="00021603" w:rsidP="00021603">
      <w:pPr>
        <w:pStyle w:val="ListParagraph"/>
        <w:spacing w:after="0" w:line="300" w:lineRule="atLeast"/>
        <w:ind w:left="360"/>
        <w:rPr>
          <w:rFonts w:ascii="Arial" w:hAnsi="Arial" w:cs="Arial"/>
        </w:rPr>
      </w:pPr>
    </w:p>
    <w:p w14:paraId="10BABADC" w14:textId="5BAF1916" w:rsidR="00021603" w:rsidRPr="00021603" w:rsidRDefault="00021603" w:rsidP="00021603">
      <w:pPr>
        <w:spacing w:after="0" w:line="300" w:lineRule="atLeast"/>
        <w:ind w:left="709" w:hanging="709"/>
        <w:rPr>
          <w:rFonts w:ascii="Arial" w:hAnsi="Arial" w:cs="Arial"/>
        </w:rPr>
      </w:pPr>
      <w:r>
        <w:rPr>
          <w:rFonts w:ascii="Arial" w:hAnsi="Arial" w:cs="Arial"/>
        </w:rPr>
        <w:t>1.3</w:t>
      </w:r>
      <w:r>
        <w:rPr>
          <w:rFonts w:ascii="Arial" w:hAnsi="Arial" w:cs="Arial"/>
        </w:rPr>
        <w:tab/>
      </w:r>
      <w:r w:rsidRPr="00021603">
        <w:rPr>
          <w:rFonts w:ascii="Arial" w:hAnsi="Arial" w:cs="Arial"/>
        </w:rPr>
        <w:t xml:space="preserve">The purpose of this report is to evidence and justify the Council making an Article 4 of the Town &amp; Country Planning (General Permitted Development) Order 2015 in Hyndburn Borough to remove permitted development rights in the remaining 7 Wards </w:t>
      </w:r>
      <w:r>
        <w:rPr>
          <w:rFonts w:ascii="Arial" w:hAnsi="Arial" w:cs="Arial"/>
        </w:rPr>
        <w:t xml:space="preserve">of </w:t>
      </w:r>
      <w:r w:rsidRPr="00021603">
        <w:rPr>
          <w:rFonts w:ascii="Arial" w:hAnsi="Arial" w:cs="Arial"/>
        </w:rPr>
        <w:t xml:space="preserve">Altham, </w:t>
      </w:r>
      <w:proofErr w:type="spellStart"/>
      <w:r w:rsidRPr="00021603">
        <w:rPr>
          <w:rFonts w:ascii="Arial" w:hAnsi="Arial" w:cs="Arial"/>
        </w:rPr>
        <w:t>Baxenden</w:t>
      </w:r>
      <w:proofErr w:type="spellEnd"/>
      <w:r w:rsidRPr="00021603">
        <w:rPr>
          <w:rFonts w:ascii="Arial" w:hAnsi="Arial" w:cs="Arial"/>
        </w:rPr>
        <w:t xml:space="preserve">, Huncoat, Immanuel, </w:t>
      </w:r>
      <w:proofErr w:type="spellStart"/>
      <w:r w:rsidRPr="00021603">
        <w:rPr>
          <w:rFonts w:ascii="Arial" w:hAnsi="Arial" w:cs="Arial"/>
        </w:rPr>
        <w:t>Milnshaw</w:t>
      </w:r>
      <w:proofErr w:type="spellEnd"/>
      <w:r w:rsidRPr="00021603">
        <w:rPr>
          <w:rFonts w:ascii="Arial" w:hAnsi="Arial" w:cs="Arial"/>
        </w:rPr>
        <w:t>, Overton and St Oswalds</w:t>
      </w:r>
      <w:r>
        <w:rPr>
          <w:rFonts w:ascii="Arial" w:hAnsi="Arial" w:cs="Arial"/>
        </w:rPr>
        <w:t xml:space="preserve"> </w:t>
      </w:r>
      <w:r w:rsidRPr="00021603">
        <w:rPr>
          <w:rFonts w:ascii="Arial" w:hAnsi="Arial" w:cs="Arial"/>
        </w:rPr>
        <w:t>for the change use of Use Class C3 dwelling house to a Use Class C4 small House in Multiple Occupation (HMO).</w:t>
      </w:r>
    </w:p>
    <w:p w14:paraId="4EAEA6C7" w14:textId="77777777" w:rsidR="00021603" w:rsidRPr="00021603" w:rsidRDefault="00021603" w:rsidP="00021603">
      <w:pPr>
        <w:spacing w:after="0" w:line="300" w:lineRule="atLeast"/>
        <w:rPr>
          <w:rFonts w:ascii="Arial" w:hAnsi="Arial" w:cs="Arial"/>
          <w:bCs/>
        </w:rPr>
      </w:pPr>
    </w:p>
    <w:p w14:paraId="19AAE2C7" w14:textId="30276B9C" w:rsidR="00085A56" w:rsidRPr="00021603" w:rsidRDefault="00021603" w:rsidP="00021603">
      <w:pPr>
        <w:spacing w:after="0" w:line="300" w:lineRule="atLeast"/>
        <w:ind w:left="709" w:hanging="709"/>
        <w:rPr>
          <w:rFonts w:ascii="Arial" w:hAnsi="Arial" w:cs="Arial"/>
        </w:rPr>
      </w:pPr>
      <w:r>
        <w:rPr>
          <w:rFonts w:ascii="Arial" w:hAnsi="Arial" w:cs="Arial"/>
        </w:rPr>
        <w:t>1.4</w:t>
      </w:r>
      <w:r>
        <w:rPr>
          <w:rFonts w:ascii="Arial" w:hAnsi="Arial" w:cs="Arial"/>
        </w:rPr>
        <w:tab/>
      </w:r>
      <w:r w:rsidRPr="00021603">
        <w:rPr>
          <w:rFonts w:ascii="Arial" w:hAnsi="Arial" w:cs="Arial"/>
        </w:rPr>
        <w:t>The report</w:t>
      </w:r>
      <w:r w:rsidR="00AC3F47" w:rsidRPr="00021603">
        <w:rPr>
          <w:rFonts w:ascii="Arial" w:hAnsi="Arial" w:cs="Arial"/>
        </w:rPr>
        <w:t xml:space="preserve"> investigate</w:t>
      </w:r>
      <w:r w:rsidRPr="00021603">
        <w:rPr>
          <w:rFonts w:ascii="Arial" w:hAnsi="Arial" w:cs="Arial"/>
        </w:rPr>
        <w:t>s</w:t>
      </w:r>
      <w:r w:rsidR="00AC3F47" w:rsidRPr="00021603">
        <w:rPr>
          <w:rFonts w:ascii="Arial" w:hAnsi="Arial" w:cs="Arial"/>
        </w:rPr>
        <w:t xml:space="preserve"> the impact that houses in multiple occupation (HMOs)</w:t>
      </w:r>
      <w:r w:rsidR="00085A56" w:rsidRPr="00021603">
        <w:rPr>
          <w:rFonts w:ascii="Arial" w:hAnsi="Arial" w:cs="Arial"/>
        </w:rPr>
        <w:t xml:space="preserve"> can have upon amenity, social and economic well-being of an area</w:t>
      </w:r>
      <w:r w:rsidRPr="00021603">
        <w:rPr>
          <w:rFonts w:ascii="Arial" w:hAnsi="Arial" w:cs="Arial"/>
        </w:rPr>
        <w:t xml:space="preserve"> and</w:t>
      </w:r>
      <w:r w:rsidR="00085A56" w:rsidRPr="00021603">
        <w:rPr>
          <w:rFonts w:ascii="Arial" w:hAnsi="Arial" w:cs="Arial"/>
        </w:rPr>
        <w:t xml:space="preserve"> </w:t>
      </w:r>
      <w:r w:rsidR="00130D6F" w:rsidRPr="00021603">
        <w:rPr>
          <w:rFonts w:ascii="Arial" w:hAnsi="Arial" w:cs="Arial"/>
        </w:rPr>
        <w:t>updates the evidence and information put before the Cabinet in December 2024</w:t>
      </w:r>
      <w:r w:rsidRPr="00021603">
        <w:rPr>
          <w:rFonts w:ascii="Arial" w:hAnsi="Arial" w:cs="Arial"/>
        </w:rPr>
        <w:t xml:space="preserve">, </w:t>
      </w:r>
      <w:r w:rsidR="00085A56" w:rsidRPr="00021603">
        <w:rPr>
          <w:rFonts w:ascii="Arial" w:hAnsi="Arial" w:cs="Arial"/>
        </w:rPr>
        <w:t>review</w:t>
      </w:r>
      <w:r w:rsidRPr="00021603">
        <w:rPr>
          <w:rFonts w:ascii="Arial" w:hAnsi="Arial" w:cs="Arial"/>
        </w:rPr>
        <w:t>ing</w:t>
      </w:r>
      <w:r w:rsidR="00085A56" w:rsidRPr="00021603">
        <w:rPr>
          <w:rFonts w:ascii="Arial" w:hAnsi="Arial" w:cs="Arial"/>
        </w:rPr>
        <w:t xml:space="preserve"> the quantity and spatial distribution of HMOs, consider</w:t>
      </w:r>
      <w:r w:rsidRPr="00021603">
        <w:rPr>
          <w:rFonts w:ascii="Arial" w:hAnsi="Arial" w:cs="Arial"/>
        </w:rPr>
        <w:t>ing</w:t>
      </w:r>
      <w:r w:rsidR="00085A56" w:rsidRPr="00021603">
        <w:rPr>
          <w:rFonts w:ascii="Arial" w:hAnsi="Arial" w:cs="Arial"/>
        </w:rPr>
        <w:t xml:space="preserve"> their impacts and identify</w:t>
      </w:r>
      <w:r w:rsidRPr="00021603">
        <w:rPr>
          <w:rFonts w:ascii="Arial" w:hAnsi="Arial" w:cs="Arial"/>
        </w:rPr>
        <w:t>ing</w:t>
      </w:r>
      <w:r w:rsidR="00085A56" w:rsidRPr="00021603">
        <w:rPr>
          <w:rFonts w:ascii="Arial" w:hAnsi="Arial" w:cs="Arial"/>
        </w:rPr>
        <w:t xml:space="preserve"> where the control of concentration of HMOs will protect </w:t>
      </w:r>
      <w:r w:rsidR="00130D6F" w:rsidRPr="00021603">
        <w:rPr>
          <w:rFonts w:ascii="Arial" w:hAnsi="Arial" w:cs="Arial"/>
        </w:rPr>
        <w:t xml:space="preserve">and sustain </w:t>
      </w:r>
      <w:r w:rsidR="00085A56" w:rsidRPr="00021603">
        <w:rPr>
          <w:rFonts w:ascii="Arial" w:hAnsi="Arial" w:cs="Arial"/>
        </w:rPr>
        <w:t xml:space="preserve">balanced communities. </w:t>
      </w:r>
    </w:p>
    <w:p w14:paraId="789132FE" w14:textId="77777777" w:rsidR="00F71908" w:rsidRPr="00364F91" w:rsidRDefault="00F71908" w:rsidP="00364F91">
      <w:pPr>
        <w:spacing w:after="0" w:line="300" w:lineRule="atLeast"/>
        <w:rPr>
          <w:rFonts w:ascii="Arial" w:hAnsi="Arial" w:cs="Arial"/>
        </w:rPr>
      </w:pPr>
    </w:p>
    <w:p w14:paraId="755E2891" w14:textId="2A3532B5" w:rsidR="00873E12" w:rsidRPr="00021603" w:rsidRDefault="00021603" w:rsidP="00021603">
      <w:pPr>
        <w:spacing w:after="0" w:line="300" w:lineRule="atLeast"/>
        <w:ind w:left="709" w:hanging="709"/>
        <w:rPr>
          <w:rFonts w:ascii="Arial" w:hAnsi="Arial" w:cs="Arial"/>
        </w:rPr>
      </w:pPr>
      <w:r>
        <w:rPr>
          <w:rFonts w:ascii="Arial" w:hAnsi="Arial" w:cs="Arial"/>
        </w:rPr>
        <w:t>1.5</w:t>
      </w:r>
      <w:r>
        <w:rPr>
          <w:rFonts w:ascii="Arial" w:hAnsi="Arial" w:cs="Arial"/>
        </w:rPr>
        <w:tab/>
      </w:r>
      <w:r w:rsidR="00873E12" w:rsidRPr="00021603">
        <w:rPr>
          <w:rFonts w:ascii="Arial" w:hAnsi="Arial" w:cs="Arial"/>
        </w:rPr>
        <w:t xml:space="preserve">Current legislation allows </w:t>
      </w:r>
      <w:r w:rsidR="00130D6F" w:rsidRPr="00021603">
        <w:rPr>
          <w:rFonts w:ascii="Arial" w:hAnsi="Arial" w:cs="Arial"/>
        </w:rPr>
        <w:t xml:space="preserve">for </w:t>
      </w:r>
      <w:r w:rsidR="00873E12" w:rsidRPr="00021603">
        <w:rPr>
          <w:rFonts w:ascii="Arial" w:hAnsi="Arial" w:cs="Arial"/>
        </w:rPr>
        <w:t xml:space="preserve">a family dwelling (Use Class C3) to change </w:t>
      </w:r>
      <w:r w:rsidR="00130D6F" w:rsidRPr="00021603">
        <w:rPr>
          <w:rFonts w:ascii="Arial" w:hAnsi="Arial" w:cs="Arial"/>
        </w:rPr>
        <w:t xml:space="preserve">into </w:t>
      </w:r>
      <w:r w:rsidR="00873E12" w:rsidRPr="00021603">
        <w:rPr>
          <w:rFonts w:ascii="Arial" w:hAnsi="Arial" w:cs="Arial"/>
        </w:rPr>
        <w:t xml:space="preserve">a small HMO (Use Class C4) without planning permission, by utilising ‘permitted development’ rights. </w:t>
      </w:r>
      <w:r w:rsidR="00941306" w:rsidRPr="00021603">
        <w:rPr>
          <w:rFonts w:ascii="Arial" w:hAnsi="Arial" w:cs="Arial"/>
        </w:rPr>
        <w:t xml:space="preserve"> </w:t>
      </w:r>
      <w:r w:rsidR="00873E12" w:rsidRPr="00021603">
        <w:rPr>
          <w:rFonts w:ascii="Arial" w:hAnsi="Arial" w:cs="Arial"/>
        </w:rPr>
        <w:t>It is accepted that HMOs can be an important source of low cost, private sector housing for those on low incomes, students, and people seeking temporary accommodation as part of a balanced mix of housing.</w:t>
      </w:r>
      <w:r w:rsidR="00941306" w:rsidRPr="00021603">
        <w:rPr>
          <w:rFonts w:ascii="Arial" w:hAnsi="Arial" w:cs="Arial"/>
        </w:rPr>
        <w:t xml:space="preserve"> </w:t>
      </w:r>
      <w:r w:rsidR="00873E12" w:rsidRPr="00021603">
        <w:rPr>
          <w:rFonts w:ascii="Arial" w:hAnsi="Arial" w:cs="Arial"/>
        </w:rPr>
        <w:t xml:space="preserve"> How</w:t>
      </w:r>
      <w:r w:rsidR="00941306" w:rsidRPr="00021603">
        <w:rPr>
          <w:rFonts w:ascii="Arial" w:hAnsi="Arial" w:cs="Arial"/>
        </w:rPr>
        <w:t>ever, in recent years there has been a significant</w:t>
      </w:r>
      <w:r w:rsidR="00873E12" w:rsidRPr="00021603">
        <w:rPr>
          <w:rFonts w:ascii="Arial" w:hAnsi="Arial" w:cs="Arial"/>
        </w:rPr>
        <w:t xml:space="preserve"> level of increase </w:t>
      </w:r>
      <w:r w:rsidR="00941306" w:rsidRPr="00021603">
        <w:rPr>
          <w:rFonts w:ascii="Arial" w:hAnsi="Arial" w:cs="Arial"/>
        </w:rPr>
        <w:t>in the number of HMOs within the Borough.  There is a concern</w:t>
      </w:r>
      <w:r w:rsidR="00873E12" w:rsidRPr="00021603">
        <w:rPr>
          <w:rFonts w:ascii="Arial" w:hAnsi="Arial" w:cs="Arial"/>
        </w:rPr>
        <w:t xml:space="preserve"> </w:t>
      </w:r>
      <w:r w:rsidR="00941306" w:rsidRPr="00021603">
        <w:rPr>
          <w:rFonts w:ascii="Arial" w:hAnsi="Arial" w:cs="Arial"/>
        </w:rPr>
        <w:t xml:space="preserve">that </w:t>
      </w:r>
      <w:r w:rsidR="00873E12" w:rsidRPr="00021603">
        <w:rPr>
          <w:rFonts w:ascii="Arial" w:hAnsi="Arial" w:cs="Arial"/>
        </w:rPr>
        <w:t>high concentration</w:t>
      </w:r>
      <w:r w:rsidR="00941306" w:rsidRPr="00021603">
        <w:rPr>
          <w:rFonts w:ascii="Arial" w:hAnsi="Arial" w:cs="Arial"/>
        </w:rPr>
        <w:t>s</w:t>
      </w:r>
      <w:r w:rsidR="00873E12" w:rsidRPr="00021603">
        <w:rPr>
          <w:rFonts w:ascii="Arial" w:hAnsi="Arial" w:cs="Arial"/>
        </w:rPr>
        <w:t xml:space="preserve"> of HMOs </w:t>
      </w:r>
      <w:r w:rsidR="00941306" w:rsidRPr="00021603">
        <w:rPr>
          <w:rFonts w:ascii="Arial" w:hAnsi="Arial" w:cs="Arial"/>
        </w:rPr>
        <w:t xml:space="preserve">in already deprived areas </w:t>
      </w:r>
      <w:r w:rsidR="00085A56" w:rsidRPr="00021603">
        <w:rPr>
          <w:rFonts w:ascii="Arial" w:hAnsi="Arial" w:cs="Arial"/>
        </w:rPr>
        <w:t>can</w:t>
      </w:r>
      <w:r w:rsidR="00941306" w:rsidRPr="00021603">
        <w:rPr>
          <w:rFonts w:ascii="Arial" w:hAnsi="Arial" w:cs="Arial"/>
        </w:rPr>
        <w:t xml:space="preserve"> further</w:t>
      </w:r>
      <w:r w:rsidR="00873E12" w:rsidRPr="00021603">
        <w:rPr>
          <w:rFonts w:ascii="Arial" w:hAnsi="Arial" w:cs="Arial"/>
        </w:rPr>
        <w:t xml:space="preserve"> impact on the choice of housing, local services, social cohesion, </w:t>
      </w:r>
      <w:r w:rsidR="00941306" w:rsidRPr="00021603">
        <w:rPr>
          <w:rFonts w:ascii="Arial" w:hAnsi="Arial" w:cs="Arial"/>
        </w:rPr>
        <w:t xml:space="preserve">crime and environmental amenity and contribute towards the decline of those areas. </w:t>
      </w:r>
      <w:r w:rsidR="00130D6F" w:rsidRPr="00021603">
        <w:rPr>
          <w:rFonts w:ascii="Arial" w:hAnsi="Arial" w:cs="Arial"/>
        </w:rPr>
        <w:t xml:space="preserve">There is also a concern that just restricting the Article 4 Direction to 9 of the Wards in the Borough will disaggregate the concentration of HMOs into the other </w:t>
      </w:r>
      <w:r w:rsidR="003B07E8" w:rsidRPr="00021603">
        <w:rPr>
          <w:rFonts w:ascii="Arial" w:hAnsi="Arial" w:cs="Arial"/>
        </w:rPr>
        <w:t>7</w:t>
      </w:r>
      <w:r w:rsidR="00130D6F" w:rsidRPr="00021603">
        <w:rPr>
          <w:rFonts w:ascii="Arial" w:hAnsi="Arial" w:cs="Arial"/>
        </w:rPr>
        <w:t xml:space="preserve"> Wards.</w:t>
      </w:r>
    </w:p>
    <w:p w14:paraId="38472AE7" w14:textId="77777777" w:rsidR="00F71908" w:rsidRPr="00E810AA" w:rsidRDefault="00F71908" w:rsidP="00F71908">
      <w:pPr>
        <w:pStyle w:val="ListParagraph"/>
        <w:spacing w:after="0" w:line="300" w:lineRule="atLeast"/>
        <w:ind w:left="709"/>
        <w:contextualSpacing w:val="0"/>
        <w:rPr>
          <w:rFonts w:ascii="Arial" w:hAnsi="Arial" w:cs="Arial"/>
        </w:rPr>
      </w:pPr>
    </w:p>
    <w:p w14:paraId="1D45ACDF" w14:textId="10148014" w:rsidR="007C1655" w:rsidRPr="00021603" w:rsidRDefault="00021603" w:rsidP="00021603">
      <w:pPr>
        <w:spacing w:after="0" w:line="300" w:lineRule="atLeast"/>
        <w:ind w:left="709" w:hanging="709"/>
        <w:rPr>
          <w:rFonts w:ascii="Arial" w:hAnsi="Arial" w:cs="Arial"/>
        </w:rPr>
      </w:pPr>
      <w:r>
        <w:rPr>
          <w:rFonts w:ascii="Arial" w:hAnsi="Arial" w:cs="Arial"/>
        </w:rPr>
        <w:t>1.6</w:t>
      </w:r>
      <w:r>
        <w:rPr>
          <w:rFonts w:ascii="Arial" w:hAnsi="Arial" w:cs="Arial"/>
        </w:rPr>
        <w:tab/>
      </w:r>
      <w:r w:rsidR="00873E12" w:rsidRPr="00021603">
        <w:rPr>
          <w:rFonts w:ascii="Arial" w:hAnsi="Arial" w:cs="Arial"/>
        </w:rPr>
        <w:t xml:space="preserve">The </w:t>
      </w:r>
      <w:r w:rsidR="00941306" w:rsidRPr="00021603">
        <w:rPr>
          <w:rFonts w:ascii="Arial" w:hAnsi="Arial" w:cs="Arial"/>
        </w:rPr>
        <w:t xml:space="preserve">making of an </w:t>
      </w:r>
      <w:r w:rsidR="00873E12" w:rsidRPr="00021603">
        <w:rPr>
          <w:rFonts w:ascii="Arial" w:hAnsi="Arial" w:cs="Arial"/>
        </w:rPr>
        <w:t xml:space="preserve">Article 4 Direction will give the Council greater control over the management of </w:t>
      </w:r>
      <w:r w:rsidR="00085A56" w:rsidRPr="00021603">
        <w:rPr>
          <w:rFonts w:ascii="Arial" w:hAnsi="Arial" w:cs="Arial"/>
        </w:rPr>
        <w:t xml:space="preserve">HMO </w:t>
      </w:r>
      <w:r w:rsidR="00364F91" w:rsidRPr="00021603">
        <w:rPr>
          <w:rFonts w:ascii="Arial" w:hAnsi="Arial" w:cs="Arial"/>
        </w:rPr>
        <w:t>c</w:t>
      </w:r>
      <w:r w:rsidR="00085A56" w:rsidRPr="00021603">
        <w:rPr>
          <w:rFonts w:ascii="Arial" w:hAnsi="Arial" w:cs="Arial"/>
        </w:rPr>
        <w:t xml:space="preserve">onversion in the Borough, which means that such </w:t>
      </w:r>
      <w:r w:rsidR="00130D6F" w:rsidRPr="00021603">
        <w:rPr>
          <w:rFonts w:ascii="Arial" w:hAnsi="Arial" w:cs="Arial"/>
        </w:rPr>
        <w:t xml:space="preserve">a </w:t>
      </w:r>
      <w:r w:rsidR="00085A56" w:rsidRPr="00021603">
        <w:rPr>
          <w:rFonts w:ascii="Arial" w:hAnsi="Arial" w:cs="Arial"/>
        </w:rPr>
        <w:t xml:space="preserve">specified change of use would require planning permission and hence will be assessed against relevant Development Plan policies. </w:t>
      </w:r>
      <w:r w:rsidR="00941306" w:rsidRPr="00021603">
        <w:rPr>
          <w:rFonts w:ascii="Arial" w:hAnsi="Arial" w:cs="Arial"/>
        </w:rPr>
        <w:t xml:space="preserve">   </w:t>
      </w:r>
    </w:p>
    <w:p w14:paraId="1505AF65" w14:textId="77777777" w:rsidR="00F71908" w:rsidRPr="00E810AA" w:rsidRDefault="00F71908" w:rsidP="00F71908">
      <w:pPr>
        <w:pStyle w:val="ListParagraph"/>
        <w:spacing w:after="0" w:line="300" w:lineRule="atLeast"/>
        <w:ind w:left="709"/>
        <w:contextualSpacing w:val="0"/>
        <w:rPr>
          <w:rFonts w:ascii="Arial" w:hAnsi="Arial" w:cs="Arial"/>
        </w:rPr>
      </w:pPr>
    </w:p>
    <w:p w14:paraId="16267B01" w14:textId="7E83CE53" w:rsidR="00085A56" w:rsidRDefault="00021603" w:rsidP="00021603">
      <w:pPr>
        <w:spacing w:after="0" w:line="300" w:lineRule="atLeast"/>
        <w:rPr>
          <w:rFonts w:ascii="Arial" w:hAnsi="Arial" w:cs="Arial"/>
        </w:rPr>
      </w:pPr>
      <w:r>
        <w:rPr>
          <w:rFonts w:ascii="Arial" w:hAnsi="Arial" w:cs="Arial"/>
        </w:rPr>
        <w:lastRenderedPageBreak/>
        <w:t>1.7</w:t>
      </w:r>
      <w:r>
        <w:rPr>
          <w:rFonts w:ascii="Arial" w:hAnsi="Arial" w:cs="Arial"/>
        </w:rPr>
        <w:tab/>
      </w:r>
      <w:r w:rsidR="00085A56" w:rsidRPr="00021603">
        <w:rPr>
          <w:rFonts w:ascii="Arial" w:hAnsi="Arial" w:cs="Arial"/>
        </w:rPr>
        <w:t>This report is structured as follows:</w:t>
      </w:r>
    </w:p>
    <w:p w14:paraId="16028DD5" w14:textId="77777777" w:rsidR="00021603" w:rsidRPr="00021603" w:rsidRDefault="00021603" w:rsidP="00021603">
      <w:pPr>
        <w:spacing w:after="0" w:line="300" w:lineRule="atLeast"/>
        <w:rPr>
          <w:rFonts w:ascii="Arial" w:hAnsi="Arial" w:cs="Arial"/>
        </w:rPr>
      </w:pPr>
    </w:p>
    <w:p w14:paraId="5D498983" w14:textId="41AB655D" w:rsidR="00085A56" w:rsidRPr="00E810AA" w:rsidRDefault="00085A56" w:rsidP="00E810AA">
      <w:pPr>
        <w:pStyle w:val="ListParagraph"/>
        <w:numPr>
          <w:ilvl w:val="0"/>
          <w:numId w:val="15"/>
        </w:numPr>
        <w:spacing w:after="0" w:line="300" w:lineRule="atLeast"/>
        <w:ind w:left="1134" w:hanging="357"/>
        <w:rPr>
          <w:rFonts w:ascii="Arial" w:hAnsi="Arial" w:cs="Arial"/>
        </w:rPr>
      </w:pPr>
      <w:r w:rsidRPr="00E810AA">
        <w:rPr>
          <w:rFonts w:ascii="Arial" w:hAnsi="Arial" w:cs="Arial"/>
        </w:rPr>
        <w:t>Section 2 sets out the background to</w:t>
      </w:r>
      <w:r w:rsidR="00130D6F">
        <w:rPr>
          <w:rFonts w:ascii="Arial" w:hAnsi="Arial" w:cs="Arial"/>
        </w:rPr>
        <w:t xml:space="preserve"> an</w:t>
      </w:r>
      <w:r w:rsidRPr="00E810AA">
        <w:rPr>
          <w:rFonts w:ascii="Arial" w:hAnsi="Arial" w:cs="Arial"/>
        </w:rPr>
        <w:t xml:space="preserve"> Article 4 Direction</w:t>
      </w:r>
    </w:p>
    <w:p w14:paraId="692D509C" w14:textId="46A94568" w:rsidR="00085A56" w:rsidRPr="00E810AA" w:rsidRDefault="00085A56" w:rsidP="00E810AA">
      <w:pPr>
        <w:pStyle w:val="ListParagraph"/>
        <w:numPr>
          <w:ilvl w:val="0"/>
          <w:numId w:val="15"/>
        </w:numPr>
        <w:spacing w:after="0" w:line="300" w:lineRule="atLeast"/>
        <w:ind w:left="1134" w:hanging="357"/>
        <w:rPr>
          <w:rFonts w:ascii="Arial" w:hAnsi="Arial" w:cs="Arial"/>
        </w:rPr>
      </w:pPr>
      <w:r w:rsidRPr="00E810AA">
        <w:rPr>
          <w:rFonts w:ascii="Arial" w:hAnsi="Arial" w:cs="Arial"/>
        </w:rPr>
        <w:t>Section 3 sets out</w:t>
      </w:r>
      <w:r w:rsidR="00130D6F">
        <w:rPr>
          <w:rFonts w:ascii="Arial" w:hAnsi="Arial" w:cs="Arial"/>
        </w:rPr>
        <w:t xml:space="preserve"> the</w:t>
      </w:r>
      <w:r w:rsidRPr="00E810AA">
        <w:rPr>
          <w:rFonts w:ascii="Arial" w:hAnsi="Arial" w:cs="Arial"/>
        </w:rPr>
        <w:t xml:space="preserve"> definition, types of HMOs, exempt accommodations and other details in relation to HMOs</w:t>
      </w:r>
    </w:p>
    <w:p w14:paraId="0A7A71B4" w14:textId="15B711E9" w:rsidR="00085A56" w:rsidRPr="00E810AA" w:rsidRDefault="00085A56" w:rsidP="00E810AA">
      <w:pPr>
        <w:pStyle w:val="ListParagraph"/>
        <w:numPr>
          <w:ilvl w:val="0"/>
          <w:numId w:val="15"/>
        </w:numPr>
        <w:spacing w:after="0" w:line="300" w:lineRule="atLeast"/>
        <w:ind w:left="1134" w:hanging="357"/>
        <w:rPr>
          <w:rFonts w:ascii="Arial" w:hAnsi="Arial" w:cs="Arial"/>
        </w:rPr>
      </w:pPr>
      <w:r w:rsidRPr="00E810AA">
        <w:rPr>
          <w:rFonts w:ascii="Arial" w:hAnsi="Arial" w:cs="Arial"/>
        </w:rPr>
        <w:t xml:space="preserve">Section 4 set out an overview </w:t>
      </w:r>
      <w:r w:rsidR="00130D6F">
        <w:rPr>
          <w:rFonts w:ascii="Arial" w:hAnsi="Arial" w:cs="Arial"/>
        </w:rPr>
        <w:t xml:space="preserve">of </w:t>
      </w:r>
      <w:r w:rsidRPr="00E810AA">
        <w:rPr>
          <w:rFonts w:ascii="Arial" w:hAnsi="Arial" w:cs="Arial"/>
        </w:rPr>
        <w:t xml:space="preserve">relevant policies and legislative background associated with HMOs </w:t>
      </w:r>
    </w:p>
    <w:p w14:paraId="1668B1A1" w14:textId="77777777" w:rsidR="00085A56" w:rsidRPr="00E810AA" w:rsidRDefault="00085A56" w:rsidP="00E810AA">
      <w:pPr>
        <w:pStyle w:val="ListParagraph"/>
        <w:numPr>
          <w:ilvl w:val="0"/>
          <w:numId w:val="15"/>
        </w:numPr>
        <w:spacing w:after="0" w:line="300" w:lineRule="atLeast"/>
        <w:ind w:left="1134" w:hanging="357"/>
        <w:rPr>
          <w:rFonts w:ascii="Arial" w:hAnsi="Arial" w:cs="Arial"/>
        </w:rPr>
      </w:pPr>
      <w:r w:rsidRPr="00E810AA">
        <w:rPr>
          <w:rFonts w:ascii="Arial" w:hAnsi="Arial" w:cs="Arial"/>
        </w:rPr>
        <w:t>Section 5 sets out the numbers and distributions of HMOs in Hyndburn</w:t>
      </w:r>
    </w:p>
    <w:p w14:paraId="4973198C" w14:textId="153C8C48" w:rsidR="00085A56" w:rsidRPr="00E810AA" w:rsidRDefault="00085A56" w:rsidP="00E810AA">
      <w:pPr>
        <w:pStyle w:val="ListParagraph"/>
        <w:numPr>
          <w:ilvl w:val="0"/>
          <w:numId w:val="15"/>
        </w:numPr>
        <w:spacing w:after="0" w:line="300" w:lineRule="atLeast"/>
        <w:ind w:left="1134" w:hanging="357"/>
        <w:rPr>
          <w:rFonts w:ascii="Arial" w:hAnsi="Arial" w:cs="Arial"/>
        </w:rPr>
      </w:pPr>
      <w:r w:rsidRPr="00E810AA">
        <w:rPr>
          <w:rFonts w:ascii="Arial" w:hAnsi="Arial" w:cs="Arial"/>
        </w:rPr>
        <w:t xml:space="preserve">Section 6 identifies </w:t>
      </w:r>
      <w:r w:rsidR="00AF08D9">
        <w:rPr>
          <w:rFonts w:ascii="Arial" w:hAnsi="Arial" w:cs="Arial"/>
        </w:rPr>
        <w:t xml:space="preserve">the </w:t>
      </w:r>
      <w:r w:rsidRPr="00E810AA">
        <w:rPr>
          <w:rFonts w:ascii="Arial" w:hAnsi="Arial" w:cs="Arial"/>
        </w:rPr>
        <w:t xml:space="preserve">social and economic impact of HMOs in Hyndburn </w:t>
      </w:r>
    </w:p>
    <w:p w14:paraId="5FA7E234" w14:textId="77777777" w:rsidR="00085A56" w:rsidRPr="00E810AA" w:rsidRDefault="00085A56" w:rsidP="00E810AA">
      <w:pPr>
        <w:pStyle w:val="ListParagraph"/>
        <w:numPr>
          <w:ilvl w:val="0"/>
          <w:numId w:val="15"/>
        </w:numPr>
        <w:spacing w:after="0" w:line="300" w:lineRule="atLeast"/>
        <w:ind w:left="1134" w:hanging="357"/>
        <w:rPr>
          <w:rFonts w:ascii="Arial" w:hAnsi="Arial" w:cs="Arial"/>
        </w:rPr>
      </w:pPr>
      <w:r w:rsidRPr="00E810AA">
        <w:rPr>
          <w:rFonts w:ascii="Arial" w:hAnsi="Arial" w:cs="Arial"/>
        </w:rPr>
        <w:t xml:space="preserve">Section 7 identifies the appropriate areas for the Article 4 Direction </w:t>
      </w:r>
    </w:p>
    <w:p w14:paraId="587CA212" w14:textId="48E66BA4" w:rsidR="00311BE0" w:rsidRDefault="00085A56" w:rsidP="005611CF">
      <w:pPr>
        <w:pStyle w:val="ListParagraph"/>
        <w:numPr>
          <w:ilvl w:val="0"/>
          <w:numId w:val="15"/>
        </w:numPr>
        <w:spacing w:after="0" w:line="300" w:lineRule="atLeast"/>
        <w:ind w:left="1134" w:hanging="357"/>
        <w:rPr>
          <w:rFonts w:ascii="Arial" w:hAnsi="Arial" w:cs="Arial"/>
        </w:rPr>
      </w:pPr>
      <w:r w:rsidRPr="00311BE0">
        <w:rPr>
          <w:rFonts w:ascii="Arial" w:hAnsi="Arial" w:cs="Arial"/>
        </w:rPr>
        <w:t xml:space="preserve">Section 8 sets out the </w:t>
      </w:r>
      <w:r w:rsidR="00311BE0" w:rsidRPr="00311BE0">
        <w:rPr>
          <w:rFonts w:ascii="Arial" w:hAnsi="Arial" w:cs="Arial"/>
        </w:rPr>
        <w:t xml:space="preserve">procedure and </w:t>
      </w:r>
      <w:r w:rsidR="00311BE0">
        <w:rPr>
          <w:rFonts w:ascii="Arial" w:hAnsi="Arial" w:cs="Arial"/>
        </w:rPr>
        <w:t>further implications.</w:t>
      </w:r>
    </w:p>
    <w:p w14:paraId="1DE562BC" w14:textId="538961E0" w:rsidR="00AF08D9" w:rsidRPr="00311BE0" w:rsidRDefault="00085A56" w:rsidP="005611CF">
      <w:pPr>
        <w:pStyle w:val="ListParagraph"/>
        <w:numPr>
          <w:ilvl w:val="0"/>
          <w:numId w:val="15"/>
        </w:numPr>
        <w:spacing w:after="0" w:line="300" w:lineRule="atLeast"/>
        <w:ind w:left="1134" w:hanging="357"/>
        <w:rPr>
          <w:rFonts w:ascii="Arial" w:hAnsi="Arial" w:cs="Arial"/>
        </w:rPr>
      </w:pPr>
      <w:r w:rsidRPr="00311BE0">
        <w:rPr>
          <w:rFonts w:ascii="Arial" w:hAnsi="Arial" w:cs="Arial"/>
        </w:rPr>
        <w:t xml:space="preserve">Section 9 </w:t>
      </w:r>
      <w:r w:rsidR="00941306" w:rsidRPr="00311BE0">
        <w:rPr>
          <w:rFonts w:ascii="Arial" w:hAnsi="Arial" w:cs="Arial"/>
        </w:rPr>
        <w:t>considers future planning policy</w:t>
      </w:r>
    </w:p>
    <w:p w14:paraId="303FD45A" w14:textId="7E93B39A" w:rsidR="00F71908" w:rsidRPr="00941306" w:rsidRDefault="00AF08D9" w:rsidP="00F71908">
      <w:pPr>
        <w:pStyle w:val="ListParagraph"/>
        <w:numPr>
          <w:ilvl w:val="0"/>
          <w:numId w:val="15"/>
        </w:numPr>
        <w:spacing w:after="0" w:line="300" w:lineRule="atLeast"/>
        <w:ind w:left="1134" w:hanging="357"/>
        <w:rPr>
          <w:rFonts w:ascii="Arial" w:hAnsi="Arial" w:cs="Arial"/>
        </w:rPr>
      </w:pPr>
      <w:r>
        <w:rPr>
          <w:rFonts w:ascii="Arial" w:hAnsi="Arial" w:cs="Arial"/>
        </w:rPr>
        <w:t>S</w:t>
      </w:r>
      <w:r w:rsidR="00941306">
        <w:rPr>
          <w:rFonts w:ascii="Arial" w:hAnsi="Arial" w:cs="Arial"/>
        </w:rPr>
        <w:t xml:space="preserve">ection 10 sets out the </w:t>
      </w:r>
      <w:r>
        <w:rPr>
          <w:rFonts w:ascii="Arial" w:hAnsi="Arial" w:cs="Arial"/>
        </w:rPr>
        <w:t>c</w:t>
      </w:r>
      <w:r w:rsidR="00085A56" w:rsidRPr="00E810AA">
        <w:rPr>
          <w:rFonts w:ascii="Arial" w:hAnsi="Arial" w:cs="Arial"/>
        </w:rPr>
        <w:t xml:space="preserve">onclusions </w:t>
      </w:r>
      <w:r w:rsidR="00941306">
        <w:rPr>
          <w:rFonts w:ascii="Arial" w:hAnsi="Arial" w:cs="Arial"/>
        </w:rPr>
        <w:t xml:space="preserve">reached.  </w:t>
      </w:r>
    </w:p>
    <w:p w14:paraId="1BC24FD2" w14:textId="77777777" w:rsidR="00873E12" w:rsidRPr="00E810AA" w:rsidRDefault="007C1655" w:rsidP="00E810AA">
      <w:pPr>
        <w:spacing w:after="0" w:line="300" w:lineRule="atLeast"/>
        <w:rPr>
          <w:rFonts w:ascii="Arial" w:hAnsi="Arial" w:cs="Arial"/>
        </w:rPr>
      </w:pPr>
      <w:r w:rsidRPr="00E810AA">
        <w:rPr>
          <w:rFonts w:ascii="Arial" w:hAnsi="Arial" w:cs="Arial"/>
        </w:rPr>
        <w:br w:type="page"/>
      </w:r>
    </w:p>
    <w:p w14:paraId="087CFDF0" w14:textId="77777777" w:rsidR="00085A56" w:rsidRPr="00941306" w:rsidRDefault="00873E12" w:rsidP="00E810AA">
      <w:pPr>
        <w:pStyle w:val="Heading1"/>
        <w:numPr>
          <w:ilvl w:val="0"/>
          <w:numId w:val="1"/>
        </w:numPr>
        <w:spacing w:before="0" w:line="300" w:lineRule="atLeast"/>
        <w:ind w:hanging="720"/>
        <w:rPr>
          <w:rFonts w:ascii="Arial" w:hAnsi="Arial" w:cs="Arial"/>
          <w:b/>
          <w:sz w:val="24"/>
          <w:szCs w:val="24"/>
        </w:rPr>
      </w:pPr>
      <w:bookmarkStart w:id="1" w:name="_Toc223633617"/>
      <w:r w:rsidRPr="00941306">
        <w:rPr>
          <w:rFonts w:ascii="Arial" w:hAnsi="Arial" w:cs="Arial"/>
          <w:b/>
          <w:sz w:val="24"/>
          <w:szCs w:val="24"/>
        </w:rPr>
        <w:lastRenderedPageBreak/>
        <w:t>Background of Legislation</w:t>
      </w:r>
      <w:bookmarkEnd w:id="1"/>
      <w:r w:rsidRPr="00941306">
        <w:rPr>
          <w:rFonts w:ascii="Arial" w:hAnsi="Arial" w:cs="Arial"/>
          <w:b/>
          <w:sz w:val="24"/>
          <w:szCs w:val="24"/>
        </w:rPr>
        <w:t xml:space="preserve"> </w:t>
      </w:r>
    </w:p>
    <w:p w14:paraId="3E26A113" w14:textId="77777777" w:rsidR="00085A56" w:rsidRPr="00E810AA" w:rsidRDefault="00085A56" w:rsidP="00E810AA">
      <w:pPr>
        <w:spacing w:after="0" w:line="300" w:lineRule="atLeast"/>
        <w:rPr>
          <w:rFonts w:ascii="Arial" w:hAnsi="Arial" w:cs="Arial"/>
        </w:rPr>
      </w:pPr>
    </w:p>
    <w:p w14:paraId="6AFE3B47" w14:textId="77777777" w:rsidR="0070318E" w:rsidRPr="00F71908" w:rsidRDefault="0070318E" w:rsidP="00E810AA">
      <w:pPr>
        <w:pStyle w:val="ListParagraph"/>
        <w:spacing w:after="0" w:line="300" w:lineRule="atLeast"/>
        <w:ind w:left="709"/>
        <w:contextualSpacing w:val="0"/>
        <w:rPr>
          <w:rFonts w:ascii="Arial" w:hAnsi="Arial" w:cs="Arial"/>
          <w:b/>
        </w:rPr>
      </w:pPr>
      <w:r w:rsidRPr="00F71908">
        <w:rPr>
          <w:rFonts w:ascii="Arial" w:hAnsi="Arial" w:cs="Arial"/>
          <w:b/>
        </w:rPr>
        <w:t>What is an Article 4 Direct</w:t>
      </w:r>
      <w:r w:rsidR="00BB1159" w:rsidRPr="00F71908">
        <w:rPr>
          <w:rFonts w:ascii="Arial" w:hAnsi="Arial" w:cs="Arial"/>
          <w:b/>
        </w:rPr>
        <w:t>ion?</w:t>
      </w:r>
    </w:p>
    <w:p w14:paraId="363509C8" w14:textId="77777777" w:rsidR="00F71908" w:rsidRPr="00E810AA" w:rsidRDefault="00F71908" w:rsidP="00E810AA">
      <w:pPr>
        <w:pStyle w:val="ListParagraph"/>
        <w:spacing w:after="0" w:line="300" w:lineRule="atLeast"/>
        <w:ind w:left="709"/>
        <w:contextualSpacing w:val="0"/>
        <w:rPr>
          <w:rFonts w:ascii="Arial" w:hAnsi="Arial" w:cs="Arial"/>
          <w:u w:val="single"/>
        </w:rPr>
      </w:pPr>
    </w:p>
    <w:p w14:paraId="2BC50238" w14:textId="2C2AAA2F" w:rsidR="0070318E" w:rsidRDefault="0070318E" w:rsidP="00E810AA">
      <w:pPr>
        <w:pStyle w:val="ListParagraph"/>
        <w:numPr>
          <w:ilvl w:val="1"/>
          <w:numId w:val="25"/>
        </w:numPr>
        <w:spacing w:after="0" w:line="300" w:lineRule="atLeast"/>
        <w:ind w:left="709" w:hanging="709"/>
        <w:contextualSpacing w:val="0"/>
        <w:rPr>
          <w:rFonts w:ascii="Arial" w:hAnsi="Arial" w:cs="Arial"/>
        </w:rPr>
      </w:pPr>
      <w:r w:rsidRPr="00E810AA">
        <w:rPr>
          <w:rFonts w:ascii="Arial" w:hAnsi="Arial" w:cs="Arial"/>
        </w:rPr>
        <w:t>An Article 4 Direction</w:t>
      </w:r>
      <w:r w:rsidRPr="00E810AA">
        <w:rPr>
          <w:rStyle w:val="FootnoteReference"/>
          <w:rFonts w:ascii="Arial" w:hAnsi="Arial" w:cs="Arial"/>
        </w:rPr>
        <w:footnoteReference w:id="1"/>
      </w:r>
      <w:r w:rsidR="00085A56" w:rsidRPr="00E810AA">
        <w:rPr>
          <w:rFonts w:ascii="Arial" w:hAnsi="Arial" w:cs="Arial"/>
        </w:rPr>
        <w:t xml:space="preserve"> is a direction</w:t>
      </w:r>
      <w:r w:rsidR="00941306">
        <w:rPr>
          <w:rFonts w:ascii="Arial" w:hAnsi="Arial" w:cs="Arial"/>
        </w:rPr>
        <w:t xml:space="preserve"> made</w:t>
      </w:r>
      <w:r w:rsidR="00085A56" w:rsidRPr="00E810AA">
        <w:rPr>
          <w:rFonts w:ascii="Arial" w:hAnsi="Arial" w:cs="Arial"/>
        </w:rPr>
        <w:t xml:space="preserve"> under A</w:t>
      </w:r>
      <w:r w:rsidRPr="00E810AA">
        <w:rPr>
          <w:rFonts w:ascii="Arial" w:hAnsi="Arial" w:cs="Arial"/>
        </w:rPr>
        <w:t xml:space="preserve">rticle 4 of the General Permitted Development Order </w:t>
      </w:r>
      <w:r w:rsidR="00085A56" w:rsidRPr="00E810AA">
        <w:rPr>
          <w:rFonts w:ascii="Arial" w:hAnsi="Arial" w:cs="Arial"/>
        </w:rPr>
        <w:t xml:space="preserve">(GPDO) </w:t>
      </w:r>
      <w:r w:rsidRPr="00E810AA">
        <w:rPr>
          <w:rFonts w:ascii="Arial" w:hAnsi="Arial" w:cs="Arial"/>
        </w:rPr>
        <w:t xml:space="preserve">which enables the Secretary of State or the local planning authority to withdraw specified permitted development rights across a defined area. </w:t>
      </w:r>
      <w:r w:rsidR="00941306">
        <w:rPr>
          <w:rFonts w:ascii="Arial" w:hAnsi="Arial" w:cs="Arial"/>
        </w:rPr>
        <w:t xml:space="preserve"> </w:t>
      </w:r>
      <w:r w:rsidRPr="00E810AA">
        <w:rPr>
          <w:rFonts w:ascii="Arial" w:hAnsi="Arial" w:cs="Arial"/>
        </w:rPr>
        <w:t xml:space="preserve">An </w:t>
      </w:r>
      <w:r w:rsidR="002E4B01">
        <w:rPr>
          <w:rFonts w:ascii="Arial" w:hAnsi="Arial" w:cs="Arial"/>
        </w:rPr>
        <w:t>A</w:t>
      </w:r>
      <w:r w:rsidRPr="00E810AA">
        <w:rPr>
          <w:rFonts w:ascii="Arial" w:hAnsi="Arial" w:cs="Arial"/>
        </w:rPr>
        <w:t xml:space="preserve">rticle 4 </w:t>
      </w:r>
      <w:r w:rsidR="002E4B01">
        <w:rPr>
          <w:rFonts w:ascii="Arial" w:hAnsi="Arial" w:cs="Arial"/>
        </w:rPr>
        <w:t>D</w:t>
      </w:r>
      <w:r w:rsidRPr="00E810AA">
        <w:rPr>
          <w:rFonts w:ascii="Arial" w:hAnsi="Arial" w:cs="Arial"/>
        </w:rPr>
        <w:t xml:space="preserve">irection cannot be used to restrict changes between uses in the same use class of the Use Classes Order. </w:t>
      </w:r>
      <w:r w:rsidR="00941306">
        <w:rPr>
          <w:rFonts w:ascii="Arial" w:hAnsi="Arial" w:cs="Arial"/>
        </w:rPr>
        <w:t xml:space="preserve"> </w:t>
      </w:r>
    </w:p>
    <w:p w14:paraId="3FF2D98A" w14:textId="77777777" w:rsidR="00F71908" w:rsidRPr="00E810AA" w:rsidRDefault="00F71908" w:rsidP="00F71908">
      <w:pPr>
        <w:pStyle w:val="ListParagraph"/>
        <w:spacing w:after="0" w:line="300" w:lineRule="atLeast"/>
        <w:ind w:left="709"/>
        <w:contextualSpacing w:val="0"/>
        <w:rPr>
          <w:rFonts w:ascii="Arial" w:hAnsi="Arial" w:cs="Arial"/>
        </w:rPr>
      </w:pPr>
    </w:p>
    <w:p w14:paraId="629049A3" w14:textId="77777777" w:rsidR="0070318E" w:rsidRPr="00F71908" w:rsidRDefault="0070318E" w:rsidP="00E810AA">
      <w:pPr>
        <w:pStyle w:val="ListParagraph"/>
        <w:spacing w:after="0" w:line="300" w:lineRule="atLeast"/>
        <w:ind w:left="709"/>
        <w:contextualSpacing w:val="0"/>
        <w:rPr>
          <w:rFonts w:ascii="Arial" w:hAnsi="Arial" w:cs="Arial"/>
          <w:b/>
        </w:rPr>
      </w:pPr>
      <w:r w:rsidRPr="00F71908">
        <w:rPr>
          <w:rFonts w:ascii="Arial" w:hAnsi="Arial" w:cs="Arial"/>
          <w:b/>
        </w:rPr>
        <w:t xml:space="preserve">Procedure to Make an Article 4 Direction </w:t>
      </w:r>
    </w:p>
    <w:p w14:paraId="5465EF7E" w14:textId="77777777" w:rsidR="00F71908" w:rsidRPr="00E810AA" w:rsidRDefault="00F71908" w:rsidP="00E810AA">
      <w:pPr>
        <w:pStyle w:val="ListParagraph"/>
        <w:spacing w:after="0" w:line="300" w:lineRule="atLeast"/>
        <w:ind w:left="709"/>
        <w:contextualSpacing w:val="0"/>
        <w:rPr>
          <w:rFonts w:ascii="Arial" w:hAnsi="Arial" w:cs="Arial"/>
          <w:u w:val="single"/>
        </w:rPr>
      </w:pPr>
    </w:p>
    <w:p w14:paraId="0E560257" w14:textId="033740CA" w:rsidR="003C4E2D" w:rsidRDefault="0070318E" w:rsidP="00E810AA">
      <w:pPr>
        <w:pStyle w:val="ListParagraph"/>
        <w:numPr>
          <w:ilvl w:val="1"/>
          <w:numId w:val="25"/>
        </w:numPr>
        <w:spacing w:after="0" w:line="300" w:lineRule="atLeast"/>
        <w:ind w:left="709" w:hanging="709"/>
        <w:contextualSpacing w:val="0"/>
        <w:rPr>
          <w:rFonts w:ascii="Arial" w:hAnsi="Arial" w:cs="Arial"/>
        </w:rPr>
      </w:pPr>
      <w:r w:rsidRPr="00E810AA">
        <w:rPr>
          <w:rFonts w:ascii="Arial" w:hAnsi="Arial" w:cs="Arial"/>
        </w:rPr>
        <w:t>There are two types of Article 4 Direction under the GPDO</w:t>
      </w:r>
    </w:p>
    <w:p w14:paraId="3F0F131F" w14:textId="77777777" w:rsidR="003C4E2D" w:rsidRDefault="003C4E2D" w:rsidP="003C4E2D">
      <w:pPr>
        <w:pStyle w:val="ListParagraph"/>
        <w:spacing w:after="0" w:line="300" w:lineRule="atLeast"/>
        <w:ind w:left="709"/>
        <w:contextualSpacing w:val="0"/>
        <w:rPr>
          <w:rFonts w:ascii="Arial" w:hAnsi="Arial" w:cs="Arial"/>
        </w:rPr>
      </w:pPr>
    </w:p>
    <w:p w14:paraId="56FA5182" w14:textId="77777777" w:rsidR="003C4E2D" w:rsidRDefault="0070318E" w:rsidP="003C4E2D">
      <w:pPr>
        <w:pStyle w:val="ListParagraph"/>
        <w:numPr>
          <w:ilvl w:val="0"/>
          <w:numId w:val="34"/>
        </w:numPr>
        <w:spacing w:after="0" w:line="300" w:lineRule="atLeast"/>
        <w:contextualSpacing w:val="0"/>
        <w:rPr>
          <w:rFonts w:ascii="Arial" w:hAnsi="Arial" w:cs="Arial"/>
        </w:rPr>
      </w:pPr>
      <w:r w:rsidRPr="00E810AA">
        <w:rPr>
          <w:rFonts w:ascii="Arial" w:hAnsi="Arial" w:cs="Arial"/>
        </w:rPr>
        <w:t xml:space="preserve">Direction with immediate effect; and </w:t>
      </w:r>
    </w:p>
    <w:p w14:paraId="075DAE37" w14:textId="77777777" w:rsidR="003C4E2D" w:rsidRDefault="0070318E" w:rsidP="003C4E2D">
      <w:pPr>
        <w:pStyle w:val="ListParagraph"/>
        <w:numPr>
          <w:ilvl w:val="0"/>
          <w:numId w:val="34"/>
        </w:numPr>
        <w:spacing w:after="0" w:line="300" w:lineRule="atLeast"/>
        <w:contextualSpacing w:val="0"/>
        <w:rPr>
          <w:rFonts w:ascii="Arial" w:hAnsi="Arial" w:cs="Arial"/>
        </w:rPr>
      </w:pPr>
      <w:r w:rsidRPr="00E810AA">
        <w:rPr>
          <w:rFonts w:ascii="Arial" w:hAnsi="Arial" w:cs="Arial"/>
        </w:rPr>
        <w:t xml:space="preserve">Non-immediate Directions. </w:t>
      </w:r>
    </w:p>
    <w:p w14:paraId="4B2D078D" w14:textId="45E899B6" w:rsidR="003C4E2D" w:rsidRDefault="00941306" w:rsidP="003C4E2D">
      <w:pPr>
        <w:pStyle w:val="ListParagraph"/>
        <w:spacing w:after="0" w:line="300" w:lineRule="atLeast"/>
        <w:ind w:left="1429"/>
        <w:contextualSpacing w:val="0"/>
        <w:rPr>
          <w:rFonts w:ascii="Arial" w:hAnsi="Arial" w:cs="Arial"/>
        </w:rPr>
      </w:pPr>
      <w:r>
        <w:rPr>
          <w:rFonts w:ascii="Arial" w:hAnsi="Arial" w:cs="Arial"/>
        </w:rPr>
        <w:t xml:space="preserve"> </w:t>
      </w:r>
    </w:p>
    <w:p w14:paraId="65A1A996" w14:textId="53A754FB" w:rsidR="0070318E" w:rsidRPr="003C4E2D" w:rsidRDefault="0070318E" w:rsidP="003C4E2D">
      <w:pPr>
        <w:spacing w:after="0" w:line="300" w:lineRule="atLeast"/>
        <w:ind w:left="709"/>
        <w:rPr>
          <w:rFonts w:ascii="Arial" w:hAnsi="Arial" w:cs="Arial"/>
        </w:rPr>
      </w:pPr>
      <w:r w:rsidRPr="003C4E2D">
        <w:rPr>
          <w:rFonts w:ascii="Arial" w:hAnsi="Arial" w:cs="Arial"/>
        </w:rPr>
        <w:t>A</w:t>
      </w:r>
      <w:r w:rsidR="003C4E2D">
        <w:rPr>
          <w:rFonts w:ascii="Arial" w:hAnsi="Arial" w:cs="Arial"/>
        </w:rPr>
        <w:t xml:space="preserve"> direction with immediate effect</w:t>
      </w:r>
      <w:r w:rsidRPr="003C4E2D">
        <w:rPr>
          <w:rFonts w:ascii="Arial" w:hAnsi="Arial" w:cs="Arial"/>
        </w:rPr>
        <w:t xml:space="preserve"> can withdraw permitted development rights straight </w:t>
      </w:r>
      <w:r w:rsidR="003C4E2D" w:rsidRPr="003C4E2D">
        <w:rPr>
          <w:rFonts w:ascii="Arial" w:hAnsi="Arial" w:cs="Arial"/>
        </w:rPr>
        <w:t>away;</w:t>
      </w:r>
      <w:r w:rsidRPr="003C4E2D">
        <w:rPr>
          <w:rFonts w:ascii="Arial" w:hAnsi="Arial" w:cs="Arial"/>
        </w:rPr>
        <w:t xml:space="preserve"> </w:t>
      </w:r>
      <w:r w:rsidR="003C4E2D" w:rsidRPr="003C4E2D">
        <w:rPr>
          <w:rFonts w:ascii="Arial" w:hAnsi="Arial" w:cs="Arial"/>
        </w:rPr>
        <w:t>however,</w:t>
      </w:r>
      <w:r w:rsidRPr="003C4E2D">
        <w:rPr>
          <w:rFonts w:ascii="Arial" w:hAnsi="Arial" w:cs="Arial"/>
        </w:rPr>
        <w:t xml:space="preserve"> </w:t>
      </w:r>
      <w:r w:rsidR="003C4E2D">
        <w:rPr>
          <w:rFonts w:ascii="Arial" w:hAnsi="Arial" w:cs="Arial"/>
        </w:rPr>
        <w:t>it</w:t>
      </w:r>
      <w:r w:rsidRPr="003C4E2D">
        <w:rPr>
          <w:rFonts w:ascii="Arial" w:hAnsi="Arial" w:cs="Arial"/>
        </w:rPr>
        <w:t xml:space="preserve"> must be confirmed by the local planning authority within 6 months of coming into effect to remain in force. Confirmation occurs after the local planning authority has carried out a local consultation. In accordance with Section 107 and 108 of the Town and Country Planning Act 1990</w:t>
      </w:r>
      <w:r w:rsidRPr="00E810AA">
        <w:rPr>
          <w:rStyle w:val="FootnoteReference"/>
          <w:rFonts w:ascii="Arial" w:hAnsi="Arial" w:cs="Arial"/>
        </w:rPr>
        <w:footnoteReference w:id="2"/>
      </w:r>
      <w:r w:rsidRPr="003C4E2D">
        <w:rPr>
          <w:rFonts w:ascii="Arial" w:hAnsi="Arial" w:cs="Arial"/>
        </w:rPr>
        <w:t xml:space="preserve"> and The Town &amp; Country Planning (Compensation) (England) Regulation 2015</w:t>
      </w:r>
      <w:r w:rsidRPr="00E810AA">
        <w:rPr>
          <w:rStyle w:val="FootnoteReference"/>
          <w:rFonts w:ascii="Arial" w:hAnsi="Arial" w:cs="Arial"/>
        </w:rPr>
        <w:footnoteReference w:id="3"/>
      </w:r>
      <w:r w:rsidRPr="003C4E2D">
        <w:rPr>
          <w:rFonts w:ascii="Arial" w:hAnsi="Arial" w:cs="Arial"/>
        </w:rPr>
        <w:t xml:space="preserve"> (as amended)</w:t>
      </w:r>
      <w:r w:rsidR="003C4E2D">
        <w:rPr>
          <w:rFonts w:ascii="Arial" w:hAnsi="Arial" w:cs="Arial"/>
        </w:rPr>
        <w:t>.  C</w:t>
      </w:r>
      <w:r w:rsidRPr="003C4E2D">
        <w:rPr>
          <w:rFonts w:ascii="Arial" w:hAnsi="Arial" w:cs="Arial"/>
        </w:rPr>
        <w:t xml:space="preserve">ompensation provisions apply to directions with immediate effect, whereas non-immediate directions may be served, giving 12 months’ notice of the intent to enforce a direction, without the need to grant any subsequent compensation. </w:t>
      </w:r>
      <w:r w:rsidR="00A46134" w:rsidRPr="003C4E2D">
        <w:rPr>
          <w:rFonts w:ascii="Arial" w:hAnsi="Arial" w:cs="Arial"/>
        </w:rPr>
        <w:t xml:space="preserve"> </w:t>
      </w:r>
    </w:p>
    <w:p w14:paraId="05F3C027" w14:textId="77777777" w:rsidR="00A46134" w:rsidRDefault="00A46134" w:rsidP="00A46134">
      <w:pPr>
        <w:pStyle w:val="ListParagraph"/>
        <w:spacing w:after="0" w:line="300" w:lineRule="atLeast"/>
        <w:ind w:left="709"/>
        <w:contextualSpacing w:val="0"/>
        <w:rPr>
          <w:rFonts w:ascii="Arial" w:hAnsi="Arial" w:cs="Arial"/>
        </w:rPr>
      </w:pPr>
    </w:p>
    <w:p w14:paraId="731F57C8" w14:textId="7BCF892A" w:rsidR="00A46134" w:rsidRDefault="00A46134" w:rsidP="00E810AA">
      <w:pPr>
        <w:pStyle w:val="ListParagraph"/>
        <w:numPr>
          <w:ilvl w:val="1"/>
          <w:numId w:val="25"/>
        </w:numPr>
        <w:spacing w:after="0" w:line="300" w:lineRule="atLeast"/>
        <w:ind w:left="709" w:hanging="709"/>
        <w:contextualSpacing w:val="0"/>
        <w:rPr>
          <w:rFonts w:ascii="Arial" w:hAnsi="Arial" w:cs="Arial"/>
        </w:rPr>
      </w:pPr>
      <w:r>
        <w:rPr>
          <w:rFonts w:ascii="Arial" w:hAnsi="Arial" w:cs="Arial"/>
        </w:rPr>
        <w:t xml:space="preserve">It is proposed that the Council </w:t>
      </w:r>
      <w:r w:rsidR="003C4E2D">
        <w:rPr>
          <w:rFonts w:ascii="Arial" w:hAnsi="Arial" w:cs="Arial"/>
        </w:rPr>
        <w:t>consider</w:t>
      </w:r>
      <w:r w:rsidR="00364F91">
        <w:rPr>
          <w:rFonts w:ascii="Arial" w:hAnsi="Arial" w:cs="Arial"/>
        </w:rPr>
        <w:t>s</w:t>
      </w:r>
      <w:r w:rsidR="003C4E2D">
        <w:rPr>
          <w:rFonts w:ascii="Arial" w:hAnsi="Arial" w:cs="Arial"/>
        </w:rPr>
        <w:t xml:space="preserve"> making </w:t>
      </w:r>
      <w:r w:rsidR="003B07E8">
        <w:rPr>
          <w:rFonts w:ascii="Arial" w:hAnsi="Arial" w:cs="Arial"/>
        </w:rPr>
        <w:t>a non-immediate</w:t>
      </w:r>
      <w:r w:rsidR="003C4E2D">
        <w:rPr>
          <w:rFonts w:ascii="Arial" w:hAnsi="Arial" w:cs="Arial"/>
        </w:rPr>
        <w:t xml:space="preserve"> </w:t>
      </w:r>
      <w:r>
        <w:rPr>
          <w:rFonts w:ascii="Arial" w:hAnsi="Arial" w:cs="Arial"/>
        </w:rPr>
        <w:t>Article 4 Direction</w:t>
      </w:r>
      <w:r w:rsidR="003C4E2D">
        <w:rPr>
          <w:rFonts w:ascii="Arial" w:hAnsi="Arial" w:cs="Arial"/>
        </w:rPr>
        <w:t xml:space="preserve"> for </w:t>
      </w:r>
      <w:r w:rsidR="003B07E8">
        <w:rPr>
          <w:rFonts w:ascii="Arial" w:hAnsi="Arial" w:cs="Arial"/>
        </w:rPr>
        <w:t xml:space="preserve">the </w:t>
      </w:r>
      <w:r w:rsidR="00023D23">
        <w:rPr>
          <w:rFonts w:ascii="Arial" w:hAnsi="Arial" w:cs="Arial"/>
        </w:rPr>
        <w:t xml:space="preserve">7 </w:t>
      </w:r>
      <w:r w:rsidR="00364F91">
        <w:rPr>
          <w:rFonts w:ascii="Arial" w:hAnsi="Arial" w:cs="Arial"/>
        </w:rPr>
        <w:t>w</w:t>
      </w:r>
      <w:r w:rsidR="003C4E2D">
        <w:rPr>
          <w:rFonts w:ascii="Arial" w:hAnsi="Arial" w:cs="Arial"/>
        </w:rPr>
        <w:t>ards in Hyndburn`s Borough</w:t>
      </w:r>
      <w:r>
        <w:rPr>
          <w:rFonts w:ascii="Arial" w:hAnsi="Arial" w:cs="Arial"/>
        </w:rPr>
        <w:t xml:space="preserve">. The reason for this is that </w:t>
      </w:r>
      <w:r w:rsidR="003C4E2D">
        <w:rPr>
          <w:rFonts w:ascii="Arial" w:hAnsi="Arial" w:cs="Arial"/>
        </w:rPr>
        <w:t>th</w:t>
      </w:r>
      <w:r w:rsidR="00023D23">
        <w:rPr>
          <w:rFonts w:ascii="Arial" w:hAnsi="Arial" w:cs="Arial"/>
        </w:rPr>
        <w:t xml:space="preserve">ough there </w:t>
      </w:r>
      <w:r w:rsidR="003C4E2D">
        <w:rPr>
          <w:rFonts w:ascii="Arial" w:hAnsi="Arial" w:cs="Arial"/>
        </w:rPr>
        <w:t xml:space="preserve">are less HMOs than in the 9 Wards </w:t>
      </w:r>
      <w:r w:rsidR="003B07E8">
        <w:rPr>
          <w:rFonts w:ascii="Arial" w:hAnsi="Arial" w:cs="Arial"/>
        </w:rPr>
        <w:t xml:space="preserve">already </w:t>
      </w:r>
      <w:r w:rsidR="003C4E2D">
        <w:rPr>
          <w:rFonts w:ascii="Arial" w:hAnsi="Arial" w:cs="Arial"/>
        </w:rPr>
        <w:t>covered by the existing Article 4 Direction</w:t>
      </w:r>
      <w:r w:rsidR="002E4B01">
        <w:rPr>
          <w:rFonts w:ascii="Arial" w:hAnsi="Arial" w:cs="Arial"/>
        </w:rPr>
        <w:t>,</w:t>
      </w:r>
      <w:r w:rsidR="003C4E2D">
        <w:rPr>
          <w:rFonts w:ascii="Arial" w:hAnsi="Arial" w:cs="Arial"/>
        </w:rPr>
        <w:t xml:space="preserve"> </w:t>
      </w:r>
      <w:r w:rsidR="00023D23">
        <w:rPr>
          <w:rFonts w:ascii="Arial" w:hAnsi="Arial" w:cs="Arial"/>
        </w:rPr>
        <w:t xml:space="preserve">they are in sufficient numbers that there is still a potential high </w:t>
      </w:r>
      <w:r w:rsidR="003C4E2D">
        <w:rPr>
          <w:rFonts w:ascii="Arial" w:hAnsi="Arial" w:cs="Arial"/>
        </w:rPr>
        <w:t>risk of</w:t>
      </w:r>
      <w:r w:rsidR="00023D23">
        <w:rPr>
          <w:rFonts w:ascii="Arial" w:hAnsi="Arial" w:cs="Arial"/>
        </w:rPr>
        <w:t xml:space="preserve"> </w:t>
      </w:r>
      <w:r>
        <w:rPr>
          <w:rFonts w:ascii="Arial" w:hAnsi="Arial" w:cs="Arial"/>
        </w:rPr>
        <w:t xml:space="preserve">compensation liabilities associated with the making on an “immediate” Article 4 Direction. </w:t>
      </w:r>
      <w:r w:rsidR="003C4E2D">
        <w:rPr>
          <w:rFonts w:ascii="Arial" w:hAnsi="Arial" w:cs="Arial"/>
        </w:rPr>
        <w:t xml:space="preserve">Risk is considered below </w:t>
      </w:r>
      <w:r w:rsidR="00311BE0">
        <w:rPr>
          <w:rFonts w:ascii="Arial" w:hAnsi="Arial" w:cs="Arial"/>
        </w:rPr>
        <w:t xml:space="preserve">in Section 8 of this paper. </w:t>
      </w:r>
      <w:r w:rsidR="003C4E2D">
        <w:rPr>
          <w:rFonts w:ascii="Arial" w:hAnsi="Arial" w:cs="Arial"/>
        </w:rPr>
        <w:t xml:space="preserve">The non-immediate effect route </w:t>
      </w:r>
      <w:r w:rsidR="008826B8">
        <w:rPr>
          <w:rFonts w:ascii="Arial" w:hAnsi="Arial" w:cs="Arial"/>
        </w:rPr>
        <w:t xml:space="preserve">is the route most commonly taken by authorities making Article 4 Directions in respect of HMO’s.  </w:t>
      </w:r>
    </w:p>
    <w:p w14:paraId="147775AA" w14:textId="77777777" w:rsidR="00F71908" w:rsidRPr="00F71908" w:rsidRDefault="00F71908" w:rsidP="00F71908">
      <w:pPr>
        <w:spacing w:after="0" w:line="300" w:lineRule="atLeast"/>
        <w:rPr>
          <w:rFonts w:ascii="Arial" w:hAnsi="Arial" w:cs="Arial"/>
        </w:rPr>
      </w:pPr>
    </w:p>
    <w:p w14:paraId="45E9C4B6" w14:textId="77777777" w:rsidR="0070318E" w:rsidRPr="00F71908" w:rsidRDefault="0070318E" w:rsidP="00E810AA">
      <w:pPr>
        <w:pStyle w:val="ListParagraph"/>
        <w:spacing w:after="0" w:line="300" w:lineRule="atLeast"/>
        <w:ind w:left="709"/>
        <w:contextualSpacing w:val="0"/>
        <w:rPr>
          <w:rFonts w:ascii="Arial" w:hAnsi="Arial" w:cs="Arial"/>
          <w:b/>
        </w:rPr>
      </w:pPr>
      <w:r w:rsidRPr="00F71908">
        <w:rPr>
          <w:rFonts w:ascii="Arial" w:hAnsi="Arial" w:cs="Arial"/>
          <w:b/>
        </w:rPr>
        <w:t xml:space="preserve">Geographic Area of Article 4 Direction  </w:t>
      </w:r>
    </w:p>
    <w:p w14:paraId="342C5EAC" w14:textId="77777777" w:rsidR="00F71908" w:rsidRPr="00E810AA" w:rsidRDefault="00F71908" w:rsidP="00E810AA">
      <w:pPr>
        <w:pStyle w:val="ListParagraph"/>
        <w:spacing w:after="0" w:line="300" w:lineRule="atLeast"/>
        <w:ind w:left="709"/>
        <w:contextualSpacing w:val="0"/>
        <w:rPr>
          <w:rFonts w:ascii="Arial" w:hAnsi="Arial" w:cs="Arial"/>
          <w:u w:val="single"/>
        </w:rPr>
      </w:pPr>
    </w:p>
    <w:p w14:paraId="48EC4C5A" w14:textId="04094F62" w:rsidR="00A3182C" w:rsidRDefault="00906800" w:rsidP="00E810AA">
      <w:pPr>
        <w:pStyle w:val="ListParagraph"/>
        <w:numPr>
          <w:ilvl w:val="1"/>
          <w:numId w:val="25"/>
        </w:numPr>
        <w:spacing w:after="0" w:line="300" w:lineRule="atLeast"/>
        <w:ind w:left="709" w:hanging="709"/>
        <w:contextualSpacing w:val="0"/>
        <w:rPr>
          <w:rFonts w:ascii="Arial" w:hAnsi="Arial" w:cs="Arial"/>
        </w:rPr>
      </w:pPr>
      <w:r w:rsidRPr="00E810AA">
        <w:rPr>
          <w:rFonts w:ascii="Arial" w:hAnsi="Arial" w:cs="Arial"/>
        </w:rPr>
        <w:t>Paragraph 5</w:t>
      </w:r>
      <w:r w:rsidR="00A3182C">
        <w:rPr>
          <w:rFonts w:ascii="Arial" w:hAnsi="Arial" w:cs="Arial"/>
        </w:rPr>
        <w:t>4</w:t>
      </w:r>
      <w:r w:rsidRPr="00E810AA">
        <w:rPr>
          <w:rFonts w:ascii="Arial" w:hAnsi="Arial" w:cs="Arial"/>
        </w:rPr>
        <w:t xml:space="preserve"> of the National Pl</w:t>
      </w:r>
      <w:r w:rsidR="008826B8">
        <w:rPr>
          <w:rFonts w:ascii="Arial" w:hAnsi="Arial" w:cs="Arial"/>
        </w:rPr>
        <w:t>anning Policy Framework (NPPF</w:t>
      </w:r>
      <w:r w:rsidR="00A3182C">
        <w:rPr>
          <w:rFonts w:ascii="Arial" w:hAnsi="Arial" w:cs="Arial"/>
        </w:rPr>
        <w:t xml:space="preserve"> December 2024</w:t>
      </w:r>
      <w:r w:rsidR="008826B8">
        <w:rPr>
          <w:rFonts w:ascii="Arial" w:hAnsi="Arial" w:cs="Arial"/>
        </w:rPr>
        <w:t>) advises</w:t>
      </w:r>
      <w:r w:rsidRPr="00E810AA">
        <w:rPr>
          <w:rFonts w:ascii="Arial" w:hAnsi="Arial" w:cs="Arial"/>
        </w:rPr>
        <w:t xml:space="preserve"> that the use of Article 4 Directions to remove permitted development right(s) should be limited to situations where an Article 4 Direction is necessary to protect </w:t>
      </w:r>
      <w:r w:rsidRPr="00E810AA">
        <w:rPr>
          <w:rFonts w:ascii="Arial" w:hAnsi="Arial" w:cs="Arial"/>
        </w:rPr>
        <w:lastRenderedPageBreak/>
        <w:t xml:space="preserve">local amenity or the well-being of the </w:t>
      </w:r>
      <w:r w:rsidR="00A3182C" w:rsidRPr="00E810AA">
        <w:rPr>
          <w:rFonts w:ascii="Arial" w:hAnsi="Arial" w:cs="Arial"/>
        </w:rPr>
        <w:t>area and</w:t>
      </w:r>
      <w:r w:rsidRPr="00E810AA">
        <w:rPr>
          <w:rFonts w:ascii="Arial" w:hAnsi="Arial" w:cs="Arial"/>
        </w:rPr>
        <w:t xml:space="preserve"> must be based on robust evidence and apply to </w:t>
      </w:r>
      <w:r w:rsidR="00BB1159" w:rsidRPr="00E810AA">
        <w:rPr>
          <w:rFonts w:ascii="Arial" w:hAnsi="Arial" w:cs="Arial"/>
        </w:rPr>
        <w:t xml:space="preserve">the </w:t>
      </w:r>
      <w:r w:rsidRPr="00E810AA">
        <w:rPr>
          <w:rFonts w:ascii="Arial" w:hAnsi="Arial" w:cs="Arial"/>
        </w:rPr>
        <w:t xml:space="preserve">smallest geographical area possible. </w:t>
      </w:r>
      <w:r w:rsidR="008826B8">
        <w:rPr>
          <w:rFonts w:ascii="Arial" w:hAnsi="Arial" w:cs="Arial"/>
        </w:rPr>
        <w:t xml:space="preserve"> </w:t>
      </w:r>
      <w:r w:rsidRPr="00E810AA">
        <w:rPr>
          <w:rFonts w:ascii="Arial" w:hAnsi="Arial" w:cs="Arial"/>
        </w:rPr>
        <w:t>National Planning Practice Guidance also</w:t>
      </w:r>
      <w:r w:rsidR="005353C9" w:rsidRPr="00E810AA">
        <w:rPr>
          <w:rFonts w:ascii="Arial" w:hAnsi="Arial" w:cs="Arial"/>
        </w:rPr>
        <w:t xml:space="preserve"> notes </w:t>
      </w:r>
      <w:r w:rsidRPr="00E810AA">
        <w:rPr>
          <w:rFonts w:ascii="Arial" w:hAnsi="Arial" w:cs="Arial"/>
        </w:rPr>
        <w:t>that blanket Article 4 Directions covering large areas (for example, the whole of a town) are not encouraged unless there is convincing evidence to justify such a direction.</w:t>
      </w:r>
      <w:r w:rsidR="00A3182C">
        <w:rPr>
          <w:rFonts w:ascii="Arial" w:hAnsi="Arial" w:cs="Arial"/>
        </w:rPr>
        <w:t xml:space="preserve"> At the present time in the Draft NPPF December 2025 at new Policy DM10, there are no proposed changes to the wording of national policy for Article 4 Directions. </w:t>
      </w:r>
    </w:p>
    <w:p w14:paraId="2538BD2F" w14:textId="326E34CC" w:rsidR="00DA25B4" w:rsidRDefault="00550EFE" w:rsidP="00A3182C">
      <w:pPr>
        <w:pStyle w:val="ListParagraph"/>
        <w:spacing w:after="0" w:line="300" w:lineRule="atLeast"/>
        <w:ind w:left="709"/>
        <w:contextualSpacing w:val="0"/>
        <w:rPr>
          <w:rFonts w:ascii="Arial" w:hAnsi="Arial" w:cs="Arial"/>
        </w:rPr>
      </w:pPr>
      <w:r w:rsidRPr="00E810AA">
        <w:rPr>
          <w:rFonts w:ascii="Arial" w:hAnsi="Arial" w:cs="Arial"/>
        </w:rPr>
        <w:t xml:space="preserve"> </w:t>
      </w:r>
      <w:r w:rsidR="008826B8">
        <w:rPr>
          <w:rFonts w:ascii="Arial" w:hAnsi="Arial" w:cs="Arial"/>
        </w:rPr>
        <w:t xml:space="preserve"> </w:t>
      </w:r>
    </w:p>
    <w:p w14:paraId="0CBE7F9B" w14:textId="77777777" w:rsidR="008826B8" w:rsidRDefault="008826B8" w:rsidP="00E810AA">
      <w:pPr>
        <w:pStyle w:val="ListParagraph"/>
        <w:numPr>
          <w:ilvl w:val="1"/>
          <w:numId w:val="25"/>
        </w:numPr>
        <w:spacing w:after="0" w:line="300" w:lineRule="atLeast"/>
        <w:ind w:left="709" w:hanging="709"/>
        <w:contextualSpacing w:val="0"/>
        <w:rPr>
          <w:rFonts w:ascii="Arial" w:hAnsi="Arial" w:cs="Arial"/>
        </w:rPr>
      </w:pPr>
      <w:r>
        <w:rPr>
          <w:rFonts w:ascii="Arial" w:hAnsi="Arial" w:cs="Arial"/>
        </w:rPr>
        <w:t>In the light of that advice, the use of data at ward level is considered most appropriate.  Whils</w:t>
      </w:r>
      <w:r w:rsidR="00CA627D">
        <w:rPr>
          <w:rFonts w:ascii="Arial" w:hAnsi="Arial" w:cs="Arial"/>
        </w:rPr>
        <w:t>t data at a Lower Super Output A</w:t>
      </w:r>
      <w:r>
        <w:rPr>
          <w:rFonts w:ascii="Arial" w:hAnsi="Arial" w:cs="Arial"/>
        </w:rPr>
        <w:t xml:space="preserve">rea </w:t>
      </w:r>
      <w:r w:rsidR="00CA627D">
        <w:rPr>
          <w:rFonts w:ascii="Arial" w:hAnsi="Arial" w:cs="Arial"/>
        </w:rPr>
        <w:t xml:space="preserve">(LSOA’s) </w:t>
      </w:r>
      <w:r>
        <w:rPr>
          <w:rFonts w:ascii="Arial" w:hAnsi="Arial" w:cs="Arial"/>
        </w:rPr>
        <w:t>can be used to inform</w:t>
      </w:r>
      <w:r w:rsidR="00CA627D">
        <w:rPr>
          <w:rFonts w:ascii="Arial" w:hAnsi="Arial" w:cs="Arial"/>
        </w:rPr>
        <w:t xml:space="preserve"> the ward level analysis, LSOA’s </w:t>
      </w:r>
      <w:r>
        <w:rPr>
          <w:rFonts w:ascii="Arial" w:hAnsi="Arial" w:cs="Arial"/>
        </w:rPr>
        <w:t>are considered to be too small an area to form the basis of the Article 4 Direction.  Local residents, elected members and officers are familiar with ward locations and boundaries and the</w:t>
      </w:r>
      <w:r w:rsidR="00CA627D">
        <w:rPr>
          <w:rFonts w:ascii="Arial" w:hAnsi="Arial" w:cs="Arial"/>
        </w:rPr>
        <w:t xml:space="preserve"> same cannot be said of Lower Super Output A</w:t>
      </w:r>
      <w:r>
        <w:rPr>
          <w:rFonts w:ascii="Arial" w:hAnsi="Arial" w:cs="Arial"/>
        </w:rPr>
        <w:t xml:space="preserve">reas.  </w:t>
      </w:r>
    </w:p>
    <w:p w14:paraId="03321463" w14:textId="77777777" w:rsidR="00F71908" w:rsidRPr="00E810AA" w:rsidRDefault="00F71908" w:rsidP="00F71908">
      <w:pPr>
        <w:pStyle w:val="ListParagraph"/>
        <w:spacing w:after="0" w:line="300" w:lineRule="atLeast"/>
        <w:ind w:left="709"/>
        <w:contextualSpacing w:val="0"/>
        <w:rPr>
          <w:rFonts w:ascii="Arial" w:hAnsi="Arial" w:cs="Arial"/>
        </w:rPr>
      </w:pPr>
    </w:p>
    <w:p w14:paraId="3344BA7C" w14:textId="77777777" w:rsidR="00906800" w:rsidRPr="00E810AA" w:rsidRDefault="00DA25B4" w:rsidP="00E810AA">
      <w:pPr>
        <w:spacing w:after="0" w:line="300" w:lineRule="atLeast"/>
        <w:rPr>
          <w:rFonts w:ascii="Arial" w:hAnsi="Arial" w:cs="Arial"/>
        </w:rPr>
      </w:pPr>
      <w:r w:rsidRPr="00E810AA">
        <w:rPr>
          <w:rFonts w:ascii="Arial" w:hAnsi="Arial" w:cs="Arial"/>
        </w:rPr>
        <w:br w:type="page"/>
      </w:r>
    </w:p>
    <w:p w14:paraId="6EB2FA71" w14:textId="77777777" w:rsidR="00085A56" w:rsidRPr="00841801" w:rsidRDefault="00550EFE" w:rsidP="00E810AA">
      <w:pPr>
        <w:pStyle w:val="Heading1"/>
        <w:numPr>
          <w:ilvl w:val="0"/>
          <w:numId w:val="1"/>
        </w:numPr>
        <w:spacing w:before="0" w:line="300" w:lineRule="atLeast"/>
        <w:ind w:hanging="720"/>
        <w:rPr>
          <w:rFonts w:ascii="Arial" w:hAnsi="Arial" w:cs="Arial"/>
          <w:b/>
          <w:sz w:val="24"/>
          <w:szCs w:val="24"/>
        </w:rPr>
      </w:pPr>
      <w:bookmarkStart w:id="2" w:name="_Toc223633618"/>
      <w:r w:rsidRPr="00841801">
        <w:rPr>
          <w:rFonts w:ascii="Arial" w:hAnsi="Arial" w:cs="Arial"/>
          <w:b/>
          <w:sz w:val="24"/>
          <w:szCs w:val="24"/>
        </w:rPr>
        <w:lastRenderedPageBreak/>
        <w:t>House in Multiple Occupation (HMO)</w:t>
      </w:r>
      <w:bookmarkEnd w:id="2"/>
    </w:p>
    <w:p w14:paraId="633EB843" w14:textId="77777777" w:rsidR="00085A56" w:rsidRPr="00E810AA" w:rsidRDefault="00085A56" w:rsidP="00E810AA">
      <w:pPr>
        <w:spacing w:after="0" w:line="300" w:lineRule="atLeast"/>
        <w:rPr>
          <w:rFonts w:ascii="Arial" w:hAnsi="Arial" w:cs="Arial"/>
          <w:u w:val="single"/>
        </w:rPr>
      </w:pPr>
    </w:p>
    <w:p w14:paraId="782FBBE0" w14:textId="77777777" w:rsidR="00550EFE" w:rsidRPr="00F71908" w:rsidRDefault="00240414" w:rsidP="00E810AA">
      <w:pPr>
        <w:spacing w:after="0" w:line="300" w:lineRule="atLeast"/>
        <w:ind w:firstLine="709"/>
        <w:rPr>
          <w:rFonts w:ascii="Arial" w:hAnsi="Arial" w:cs="Arial"/>
          <w:b/>
        </w:rPr>
      </w:pPr>
      <w:r w:rsidRPr="00F71908">
        <w:rPr>
          <w:rFonts w:ascii="Arial" w:hAnsi="Arial" w:cs="Arial"/>
          <w:b/>
        </w:rPr>
        <w:t>Definition</w:t>
      </w:r>
      <w:r w:rsidR="003268A7" w:rsidRPr="00F71908">
        <w:rPr>
          <w:rFonts w:ascii="Arial" w:hAnsi="Arial" w:cs="Arial"/>
          <w:b/>
        </w:rPr>
        <w:t xml:space="preserve"> and Types</w:t>
      </w:r>
      <w:r w:rsidRPr="00F71908">
        <w:rPr>
          <w:rFonts w:ascii="Arial" w:hAnsi="Arial" w:cs="Arial"/>
          <w:b/>
        </w:rPr>
        <w:t xml:space="preserve"> of HMO</w:t>
      </w:r>
    </w:p>
    <w:p w14:paraId="5A4782E6" w14:textId="77777777" w:rsidR="00F71908" w:rsidRPr="00E810AA" w:rsidRDefault="00F71908" w:rsidP="00E810AA">
      <w:pPr>
        <w:spacing w:after="0" w:line="300" w:lineRule="atLeast"/>
        <w:ind w:firstLine="709"/>
        <w:rPr>
          <w:rFonts w:ascii="Arial" w:hAnsi="Arial" w:cs="Arial"/>
          <w:u w:val="single"/>
        </w:rPr>
      </w:pPr>
    </w:p>
    <w:p w14:paraId="04759B95" w14:textId="74370930" w:rsidR="00873E12" w:rsidRDefault="00873E12" w:rsidP="00E810AA">
      <w:pPr>
        <w:pStyle w:val="ListParagraph"/>
        <w:numPr>
          <w:ilvl w:val="1"/>
          <w:numId w:val="18"/>
        </w:numPr>
        <w:spacing w:after="0" w:line="300" w:lineRule="atLeast"/>
        <w:ind w:left="709" w:hanging="709"/>
        <w:contextualSpacing w:val="0"/>
        <w:rPr>
          <w:rFonts w:ascii="Arial" w:hAnsi="Arial" w:cs="Arial"/>
        </w:rPr>
      </w:pPr>
      <w:r w:rsidRPr="00E810AA">
        <w:rPr>
          <w:rFonts w:ascii="Arial" w:hAnsi="Arial" w:cs="Arial"/>
        </w:rPr>
        <w:t xml:space="preserve">A House in Multiple Occupation, commonly known as a HMO, is a property occupied by at least three people who are not from one ‘household’ (e.g. a family) but share facilities such as a bathroom and kitchen. </w:t>
      </w:r>
      <w:r w:rsidR="00E36C35">
        <w:rPr>
          <w:rFonts w:ascii="Arial" w:hAnsi="Arial" w:cs="Arial"/>
        </w:rPr>
        <w:t xml:space="preserve"> </w:t>
      </w:r>
      <w:r w:rsidRPr="00E810AA">
        <w:rPr>
          <w:rFonts w:ascii="Arial" w:hAnsi="Arial" w:cs="Arial"/>
        </w:rPr>
        <w:t xml:space="preserve">Examples include </w:t>
      </w:r>
      <w:r w:rsidR="00C22DF2" w:rsidRPr="00E810AA">
        <w:rPr>
          <w:rFonts w:ascii="Arial" w:hAnsi="Arial" w:cs="Arial"/>
        </w:rPr>
        <w:t xml:space="preserve">purpose-built HMOs, </w:t>
      </w:r>
      <w:r w:rsidRPr="00E810AA">
        <w:rPr>
          <w:rFonts w:ascii="Arial" w:hAnsi="Arial" w:cs="Arial"/>
        </w:rPr>
        <w:t xml:space="preserve">bedsits, shared houses, </w:t>
      </w:r>
      <w:r w:rsidR="00C22DF2" w:rsidRPr="00E810AA">
        <w:rPr>
          <w:rFonts w:ascii="Arial" w:hAnsi="Arial" w:cs="Arial"/>
        </w:rPr>
        <w:t>households with lodger</w:t>
      </w:r>
      <w:r w:rsidR="00A3182C">
        <w:rPr>
          <w:rFonts w:ascii="Arial" w:hAnsi="Arial" w:cs="Arial"/>
        </w:rPr>
        <w:t>s</w:t>
      </w:r>
      <w:r w:rsidRPr="00E810AA">
        <w:rPr>
          <w:rFonts w:ascii="Arial" w:hAnsi="Arial" w:cs="Arial"/>
        </w:rPr>
        <w:t>, accommodation for workers/employees and refugees.</w:t>
      </w:r>
      <w:r w:rsidR="00CA627D">
        <w:rPr>
          <w:rFonts w:ascii="Arial" w:hAnsi="Arial" w:cs="Arial"/>
        </w:rPr>
        <w:t xml:space="preserve"> </w:t>
      </w:r>
      <w:r w:rsidRPr="00E810AA">
        <w:rPr>
          <w:rFonts w:ascii="Arial" w:hAnsi="Arial" w:cs="Arial"/>
        </w:rPr>
        <w:t xml:space="preserve"> </w:t>
      </w:r>
      <w:r w:rsidR="00C22DF2" w:rsidRPr="00E810AA">
        <w:rPr>
          <w:rFonts w:ascii="Arial" w:hAnsi="Arial" w:cs="Arial"/>
        </w:rPr>
        <w:t>Of course, not all those accommodation types will fall under the planning definition of an HMO or the housing definition of HMO under the 2004 Housing Act.</w:t>
      </w:r>
      <w:r w:rsidR="00CA627D">
        <w:rPr>
          <w:rFonts w:ascii="Arial" w:hAnsi="Arial" w:cs="Arial"/>
        </w:rPr>
        <w:t xml:space="preserve">  The determining factor is h</w:t>
      </w:r>
      <w:r w:rsidR="00C22DF2" w:rsidRPr="00E810AA">
        <w:rPr>
          <w:rFonts w:ascii="Arial" w:hAnsi="Arial" w:cs="Arial"/>
        </w:rPr>
        <w:t xml:space="preserve">ow a property is occupied.  </w:t>
      </w:r>
    </w:p>
    <w:p w14:paraId="2EDE576E" w14:textId="77777777" w:rsidR="00F71908" w:rsidRPr="00E810AA" w:rsidRDefault="00F71908" w:rsidP="00F71908">
      <w:pPr>
        <w:pStyle w:val="ListParagraph"/>
        <w:spacing w:after="0" w:line="300" w:lineRule="atLeast"/>
        <w:ind w:left="709"/>
        <w:contextualSpacing w:val="0"/>
        <w:rPr>
          <w:rFonts w:ascii="Arial" w:hAnsi="Arial" w:cs="Arial"/>
        </w:rPr>
      </w:pPr>
    </w:p>
    <w:p w14:paraId="22CCE88F" w14:textId="4BE944A9" w:rsidR="00873E12" w:rsidRDefault="00873E12" w:rsidP="00E810AA">
      <w:pPr>
        <w:pStyle w:val="ListParagraph"/>
        <w:numPr>
          <w:ilvl w:val="1"/>
          <w:numId w:val="18"/>
        </w:numPr>
        <w:spacing w:after="0" w:line="300" w:lineRule="atLeast"/>
        <w:ind w:left="709" w:hanging="709"/>
        <w:contextualSpacing w:val="0"/>
        <w:rPr>
          <w:rFonts w:ascii="Arial" w:hAnsi="Arial" w:cs="Arial"/>
        </w:rPr>
      </w:pPr>
      <w:r w:rsidRPr="00E810AA">
        <w:rPr>
          <w:rFonts w:ascii="Arial" w:hAnsi="Arial" w:cs="Arial"/>
        </w:rPr>
        <w:t>In April 2010, amendments were made to the Use Classes Order and the General Permitted Development Order to introduce a new Class C development</w:t>
      </w:r>
      <w:r w:rsidR="007D2F66">
        <w:rPr>
          <w:rFonts w:ascii="Arial" w:hAnsi="Arial" w:cs="Arial"/>
        </w:rPr>
        <w:t xml:space="preserve"> </w:t>
      </w:r>
      <w:r w:rsidRPr="00E810AA">
        <w:rPr>
          <w:rFonts w:ascii="Arial" w:hAnsi="Arial" w:cs="Arial"/>
        </w:rPr>
        <w:t>- C4 (Houses in Multiple Occupation)</w:t>
      </w:r>
      <w:r w:rsidR="007D2F66">
        <w:rPr>
          <w:rFonts w:ascii="Arial" w:hAnsi="Arial" w:cs="Arial"/>
        </w:rPr>
        <w:t xml:space="preserve">, </w:t>
      </w:r>
      <w:r w:rsidRPr="00E810AA">
        <w:rPr>
          <w:rFonts w:ascii="Arial" w:hAnsi="Arial" w:cs="Arial"/>
        </w:rPr>
        <w:t xml:space="preserve">commonly referred </w:t>
      </w:r>
      <w:r w:rsidR="00A3182C">
        <w:rPr>
          <w:rFonts w:ascii="Arial" w:hAnsi="Arial" w:cs="Arial"/>
        </w:rPr>
        <w:t xml:space="preserve">to </w:t>
      </w:r>
      <w:r w:rsidR="00DA5343" w:rsidRPr="00E810AA">
        <w:rPr>
          <w:rFonts w:ascii="Arial" w:hAnsi="Arial" w:cs="Arial"/>
        </w:rPr>
        <w:t>as</w:t>
      </w:r>
      <w:r w:rsidRPr="00E810AA">
        <w:rPr>
          <w:rFonts w:ascii="Arial" w:hAnsi="Arial" w:cs="Arial"/>
        </w:rPr>
        <w:t xml:space="preserve"> ‘small HMOs’</w:t>
      </w:r>
      <w:r w:rsidR="007D2F66">
        <w:rPr>
          <w:rFonts w:ascii="Arial" w:hAnsi="Arial" w:cs="Arial"/>
        </w:rPr>
        <w:t xml:space="preserve"> for </w:t>
      </w:r>
      <w:r w:rsidR="007D2F66" w:rsidRPr="007D2F66">
        <w:rPr>
          <w:rFonts w:ascii="Arial" w:hAnsi="Arial" w:cs="Arial"/>
        </w:rPr>
        <w:t>not more than six residents</w:t>
      </w:r>
      <w:r w:rsidRPr="00E810AA">
        <w:rPr>
          <w:rFonts w:ascii="Arial" w:hAnsi="Arial" w:cs="Arial"/>
        </w:rPr>
        <w:t xml:space="preserve">. HMOs where there are more </w:t>
      </w:r>
      <w:r w:rsidR="007D2F66">
        <w:rPr>
          <w:rFonts w:ascii="Arial" w:hAnsi="Arial" w:cs="Arial"/>
        </w:rPr>
        <w:t xml:space="preserve">than 6 </w:t>
      </w:r>
      <w:r w:rsidRPr="00E810AA">
        <w:rPr>
          <w:rFonts w:ascii="Arial" w:hAnsi="Arial" w:cs="Arial"/>
        </w:rPr>
        <w:t>unrelated people are still considered as HMOs</w:t>
      </w:r>
      <w:r w:rsidR="00A3182C">
        <w:rPr>
          <w:rFonts w:ascii="Arial" w:hAnsi="Arial" w:cs="Arial"/>
        </w:rPr>
        <w:t xml:space="preserve"> </w:t>
      </w:r>
      <w:r w:rsidR="007D2F66">
        <w:rPr>
          <w:rFonts w:ascii="Arial" w:hAnsi="Arial" w:cs="Arial"/>
        </w:rPr>
        <w:t xml:space="preserve">but </w:t>
      </w:r>
      <w:r w:rsidR="00A3182C">
        <w:rPr>
          <w:rFonts w:ascii="Arial" w:hAnsi="Arial" w:cs="Arial"/>
        </w:rPr>
        <w:t>require planning permission</w:t>
      </w:r>
      <w:r w:rsidR="007D2F66">
        <w:rPr>
          <w:rFonts w:ascii="Arial" w:hAnsi="Arial" w:cs="Arial"/>
        </w:rPr>
        <w:t>. T</w:t>
      </w:r>
      <w:r w:rsidRPr="00E810AA">
        <w:rPr>
          <w:rFonts w:ascii="Arial" w:hAnsi="Arial" w:cs="Arial"/>
        </w:rPr>
        <w:t>hese are commonly referred to as ‘large HMOs’</w:t>
      </w:r>
      <w:r w:rsidR="007D2F66">
        <w:rPr>
          <w:rFonts w:ascii="Arial" w:hAnsi="Arial" w:cs="Arial"/>
        </w:rPr>
        <w:t>.</w:t>
      </w:r>
    </w:p>
    <w:p w14:paraId="2A02885F" w14:textId="77777777" w:rsidR="00F71908" w:rsidRPr="00E810AA" w:rsidRDefault="00F71908" w:rsidP="00F71908">
      <w:pPr>
        <w:pStyle w:val="ListParagraph"/>
        <w:spacing w:after="0" w:line="300" w:lineRule="atLeast"/>
        <w:ind w:left="709"/>
        <w:contextualSpacing w:val="0"/>
        <w:rPr>
          <w:rFonts w:ascii="Arial" w:hAnsi="Arial" w:cs="Arial"/>
        </w:rPr>
      </w:pPr>
    </w:p>
    <w:p w14:paraId="3E3676DC" w14:textId="73218441" w:rsidR="00BE4901" w:rsidRDefault="00BE4901" w:rsidP="00E810AA">
      <w:pPr>
        <w:pStyle w:val="ListParagraph"/>
        <w:numPr>
          <w:ilvl w:val="1"/>
          <w:numId w:val="18"/>
        </w:numPr>
        <w:spacing w:after="0" w:line="300" w:lineRule="atLeast"/>
        <w:ind w:left="709" w:hanging="709"/>
        <w:contextualSpacing w:val="0"/>
        <w:rPr>
          <w:rFonts w:ascii="Arial" w:hAnsi="Arial" w:cs="Arial"/>
        </w:rPr>
      </w:pPr>
      <w:r w:rsidRPr="00E810AA">
        <w:rPr>
          <w:rFonts w:ascii="Arial" w:hAnsi="Arial" w:cs="Arial"/>
        </w:rPr>
        <w:t>It is important to understand that HMOs prov</w:t>
      </w:r>
      <w:r w:rsidR="009D32B8" w:rsidRPr="00E810AA">
        <w:rPr>
          <w:rFonts w:ascii="Arial" w:hAnsi="Arial" w:cs="Arial"/>
        </w:rPr>
        <w:t>ide a</w:t>
      </w:r>
      <w:r w:rsidRPr="00E810AA">
        <w:rPr>
          <w:rFonts w:ascii="Arial" w:hAnsi="Arial" w:cs="Arial"/>
        </w:rPr>
        <w:t xml:space="preserve"> form of low-cost housing, particularly for younger </w:t>
      </w:r>
      <w:r w:rsidR="009D32B8" w:rsidRPr="00E810AA">
        <w:rPr>
          <w:rFonts w:ascii="Arial" w:hAnsi="Arial" w:cs="Arial"/>
        </w:rPr>
        <w:t xml:space="preserve">people and people </w:t>
      </w:r>
      <w:r w:rsidR="00A3182C">
        <w:rPr>
          <w:rFonts w:ascii="Arial" w:hAnsi="Arial" w:cs="Arial"/>
        </w:rPr>
        <w:t>o</w:t>
      </w:r>
      <w:r w:rsidR="009D32B8" w:rsidRPr="00E810AA">
        <w:rPr>
          <w:rFonts w:ascii="Arial" w:hAnsi="Arial" w:cs="Arial"/>
        </w:rPr>
        <w:t xml:space="preserve">n low incomes. They also provide flexible accommodation for people </w:t>
      </w:r>
      <w:r w:rsidR="00A3182C">
        <w:rPr>
          <w:rFonts w:ascii="Arial" w:hAnsi="Arial" w:cs="Arial"/>
        </w:rPr>
        <w:t>needing</w:t>
      </w:r>
      <w:r w:rsidR="009D32B8" w:rsidRPr="00E810AA">
        <w:rPr>
          <w:rFonts w:ascii="Arial" w:hAnsi="Arial" w:cs="Arial"/>
        </w:rPr>
        <w:t xml:space="preserve"> short-term housing requirements. </w:t>
      </w:r>
      <w:r w:rsidR="00CA627D">
        <w:rPr>
          <w:rFonts w:ascii="Arial" w:hAnsi="Arial" w:cs="Arial"/>
        </w:rPr>
        <w:t xml:space="preserve"> </w:t>
      </w:r>
      <w:r w:rsidR="009D32B8" w:rsidRPr="00E810AA">
        <w:rPr>
          <w:rFonts w:ascii="Arial" w:hAnsi="Arial" w:cs="Arial"/>
        </w:rPr>
        <w:t>This includes people in-between properties, people employed in short-term contracts and people who are saving to purchase a home.</w:t>
      </w:r>
      <w:r w:rsidR="00CA627D">
        <w:rPr>
          <w:rFonts w:ascii="Arial" w:hAnsi="Arial" w:cs="Arial"/>
        </w:rPr>
        <w:t xml:space="preserve"> </w:t>
      </w:r>
      <w:r w:rsidR="009D32B8" w:rsidRPr="00E810AA">
        <w:rPr>
          <w:rFonts w:ascii="Arial" w:hAnsi="Arial" w:cs="Arial"/>
        </w:rPr>
        <w:t xml:space="preserve"> The</w:t>
      </w:r>
      <w:r w:rsidR="003268A7" w:rsidRPr="00E810AA">
        <w:rPr>
          <w:rFonts w:ascii="Arial" w:hAnsi="Arial" w:cs="Arial"/>
        </w:rPr>
        <w:t xml:space="preserve">y also provide housing for people that simply prefer </w:t>
      </w:r>
      <w:r w:rsidR="00BB1159" w:rsidRPr="00E810AA">
        <w:rPr>
          <w:rFonts w:ascii="Arial" w:hAnsi="Arial" w:cs="Arial"/>
        </w:rPr>
        <w:t>to live with a</w:t>
      </w:r>
      <w:r w:rsidR="003268A7" w:rsidRPr="00E810AA">
        <w:rPr>
          <w:rFonts w:ascii="Arial" w:hAnsi="Arial" w:cs="Arial"/>
        </w:rPr>
        <w:t xml:space="preserve"> number of other people, such as friendship groups.</w:t>
      </w:r>
      <w:r w:rsidR="00CA627D">
        <w:rPr>
          <w:rFonts w:ascii="Arial" w:hAnsi="Arial" w:cs="Arial"/>
        </w:rPr>
        <w:t xml:space="preserve"> </w:t>
      </w:r>
      <w:r w:rsidR="003268A7" w:rsidRPr="00E810AA">
        <w:rPr>
          <w:rFonts w:ascii="Arial" w:hAnsi="Arial" w:cs="Arial"/>
        </w:rPr>
        <w:t xml:space="preserve"> Given the limited numb</w:t>
      </w:r>
      <w:r w:rsidR="00CA627D">
        <w:rPr>
          <w:rFonts w:ascii="Arial" w:hAnsi="Arial" w:cs="Arial"/>
        </w:rPr>
        <w:t>er of purpose-built HMOs in Hyndburn</w:t>
      </w:r>
      <w:r w:rsidR="003268A7" w:rsidRPr="00E810AA">
        <w:rPr>
          <w:rFonts w:ascii="Arial" w:hAnsi="Arial" w:cs="Arial"/>
        </w:rPr>
        <w:t xml:space="preserve">, the sector will </w:t>
      </w:r>
      <w:r w:rsidR="00CA627D">
        <w:rPr>
          <w:rFonts w:ascii="Arial" w:hAnsi="Arial" w:cs="Arial"/>
        </w:rPr>
        <w:t xml:space="preserve">continue to </w:t>
      </w:r>
      <w:r w:rsidR="003268A7" w:rsidRPr="00E810AA">
        <w:rPr>
          <w:rFonts w:ascii="Arial" w:hAnsi="Arial" w:cs="Arial"/>
        </w:rPr>
        <w:t xml:space="preserve">be reliant </w:t>
      </w:r>
      <w:r w:rsidR="0075592A" w:rsidRPr="00E810AA">
        <w:rPr>
          <w:rFonts w:ascii="Arial" w:hAnsi="Arial" w:cs="Arial"/>
        </w:rPr>
        <w:t xml:space="preserve">on conversion of existing properties. </w:t>
      </w:r>
      <w:r w:rsidR="00CA627D">
        <w:rPr>
          <w:rFonts w:ascii="Arial" w:hAnsi="Arial" w:cs="Arial"/>
        </w:rPr>
        <w:t xml:space="preserve"> </w:t>
      </w:r>
    </w:p>
    <w:p w14:paraId="4A7AA14D" w14:textId="77777777" w:rsidR="00F71908" w:rsidRPr="00E810AA" w:rsidRDefault="00F71908" w:rsidP="00F71908">
      <w:pPr>
        <w:pStyle w:val="ListParagraph"/>
        <w:spacing w:after="0" w:line="300" w:lineRule="atLeast"/>
        <w:ind w:left="709"/>
        <w:contextualSpacing w:val="0"/>
        <w:rPr>
          <w:rFonts w:ascii="Arial" w:hAnsi="Arial" w:cs="Arial"/>
        </w:rPr>
      </w:pPr>
    </w:p>
    <w:p w14:paraId="5D8AD678" w14:textId="77777777" w:rsidR="00C22DF2" w:rsidRPr="00F71908" w:rsidRDefault="00F71908" w:rsidP="00E810AA">
      <w:pPr>
        <w:pStyle w:val="ListParagraph"/>
        <w:spacing w:after="0" w:line="300" w:lineRule="atLeast"/>
        <w:ind w:left="709"/>
        <w:rPr>
          <w:rFonts w:ascii="Arial" w:hAnsi="Arial" w:cs="Arial"/>
          <w:b/>
        </w:rPr>
      </w:pPr>
      <w:r>
        <w:rPr>
          <w:rFonts w:ascii="Arial" w:hAnsi="Arial" w:cs="Arial"/>
          <w:b/>
        </w:rPr>
        <w:t>Exempt Accommodation (Properties that</w:t>
      </w:r>
      <w:r w:rsidR="00C22DF2" w:rsidRPr="00F71908">
        <w:rPr>
          <w:rFonts w:ascii="Arial" w:hAnsi="Arial" w:cs="Arial"/>
          <w:b/>
        </w:rPr>
        <w:t xml:space="preserve"> are not considered to be HMOs)</w:t>
      </w:r>
      <w:r>
        <w:rPr>
          <w:rFonts w:ascii="Arial" w:hAnsi="Arial" w:cs="Arial"/>
          <w:b/>
        </w:rPr>
        <w:t xml:space="preserve">.  </w:t>
      </w:r>
    </w:p>
    <w:p w14:paraId="3252AF15" w14:textId="77777777" w:rsidR="00C22DF2" w:rsidRPr="00E810AA" w:rsidRDefault="00C22DF2" w:rsidP="00E810AA">
      <w:pPr>
        <w:pStyle w:val="ListParagraph"/>
        <w:spacing w:after="0" w:line="300" w:lineRule="atLeast"/>
        <w:ind w:left="709"/>
        <w:rPr>
          <w:rFonts w:ascii="Arial" w:hAnsi="Arial" w:cs="Arial"/>
          <w:u w:val="single"/>
        </w:rPr>
      </w:pPr>
    </w:p>
    <w:p w14:paraId="29138B47" w14:textId="1A2980D4" w:rsidR="00085A56" w:rsidRDefault="00085A56" w:rsidP="00E810AA">
      <w:pPr>
        <w:pStyle w:val="ListParagraph"/>
        <w:numPr>
          <w:ilvl w:val="1"/>
          <w:numId w:val="18"/>
        </w:numPr>
        <w:spacing w:after="0" w:line="300" w:lineRule="atLeast"/>
        <w:ind w:left="709" w:hanging="720"/>
        <w:contextualSpacing w:val="0"/>
        <w:rPr>
          <w:rFonts w:ascii="Arial" w:hAnsi="Arial" w:cs="Arial"/>
        </w:rPr>
      </w:pPr>
      <w:r w:rsidRPr="00E810AA">
        <w:rPr>
          <w:rFonts w:ascii="Arial" w:hAnsi="Arial" w:cs="Arial"/>
        </w:rPr>
        <w:t xml:space="preserve">Within the Town &amp; Country Planning (Use Classes) Order 1987 (as amended), C4 HMOs have the same meaning as that given in the Housing Act 2004. </w:t>
      </w:r>
      <w:r w:rsidR="00CA627D">
        <w:rPr>
          <w:rFonts w:ascii="Arial" w:hAnsi="Arial" w:cs="Arial"/>
        </w:rPr>
        <w:t xml:space="preserve"> </w:t>
      </w:r>
      <w:r w:rsidR="00BC4F80">
        <w:rPr>
          <w:rFonts w:ascii="Arial" w:hAnsi="Arial" w:cs="Arial"/>
        </w:rPr>
        <w:t xml:space="preserve">That said, certain types of shared properties are not categorised as </w:t>
      </w:r>
      <w:r w:rsidR="00911496">
        <w:rPr>
          <w:rFonts w:ascii="Arial" w:hAnsi="Arial" w:cs="Arial"/>
        </w:rPr>
        <w:t xml:space="preserve">a </w:t>
      </w:r>
      <w:r w:rsidR="00BC4F80">
        <w:rPr>
          <w:rFonts w:ascii="Arial" w:hAnsi="Arial" w:cs="Arial"/>
        </w:rPr>
        <w:t>HMO, according to Schedule 14 of the Housing Act 2004</w:t>
      </w:r>
      <w:r w:rsidR="00911496">
        <w:rPr>
          <w:rFonts w:ascii="Arial" w:hAnsi="Arial" w:cs="Arial"/>
        </w:rPr>
        <w:t>.</w:t>
      </w:r>
      <w:r w:rsidRPr="00E810AA">
        <w:rPr>
          <w:rFonts w:ascii="Arial" w:hAnsi="Arial" w:cs="Arial"/>
        </w:rPr>
        <w:t xml:space="preserve"> </w:t>
      </w:r>
      <w:r w:rsidR="00CA627D">
        <w:rPr>
          <w:rFonts w:ascii="Arial" w:hAnsi="Arial" w:cs="Arial"/>
        </w:rPr>
        <w:t xml:space="preserve"> </w:t>
      </w:r>
      <w:r w:rsidRPr="00E810AA">
        <w:rPr>
          <w:rFonts w:ascii="Arial" w:hAnsi="Arial" w:cs="Arial"/>
        </w:rPr>
        <w:t>Th</w:t>
      </w:r>
      <w:r w:rsidR="00311BE0">
        <w:rPr>
          <w:rFonts w:ascii="Arial" w:hAnsi="Arial" w:cs="Arial"/>
        </w:rPr>
        <w:t>ese</w:t>
      </w:r>
      <w:r w:rsidRPr="00E810AA">
        <w:rPr>
          <w:rFonts w:ascii="Arial" w:hAnsi="Arial" w:cs="Arial"/>
        </w:rPr>
        <w:t xml:space="preserve"> include </w:t>
      </w:r>
      <w:r w:rsidR="00D90D44">
        <w:rPr>
          <w:rFonts w:ascii="Arial" w:hAnsi="Arial" w:cs="Arial"/>
        </w:rPr>
        <w:t>the following</w:t>
      </w:r>
    </w:p>
    <w:p w14:paraId="6DD2E3AE" w14:textId="77777777" w:rsidR="00D90D44" w:rsidRPr="00E810AA" w:rsidRDefault="00D90D44" w:rsidP="00D90D44">
      <w:pPr>
        <w:pStyle w:val="ListParagraph"/>
        <w:spacing w:after="0" w:line="300" w:lineRule="atLeast"/>
        <w:ind w:left="709"/>
        <w:contextualSpacing w:val="0"/>
        <w:rPr>
          <w:rFonts w:ascii="Arial" w:hAnsi="Arial" w:cs="Arial"/>
        </w:rPr>
      </w:pPr>
    </w:p>
    <w:p w14:paraId="4E756F97" w14:textId="4EFBE282" w:rsidR="00D90D44" w:rsidRDefault="00D90D44" w:rsidP="00E810AA">
      <w:pPr>
        <w:pStyle w:val="ListParagraph"/>
        <w:numPr>
          <w:ilvl w:val="0"/>
          <w:numId w:val="16"/>
        </w:numPr>
        <w:spacing w:after="0" w:line="300" w:lineRule="atLeast"/>
        <w:ind w:left="1276" w:hanging="357"/>
        <w:rPr>
          <w:rFonts w:ascii="Arial" w:hAnsi="Arial" w:cs="Arial"/>
        </w:rPr>
      </w:pPr>
      <w:r>
        <w:rPr>
          <w:rFonts w:ascii="Arial" w:hAnsi="Arial" w:cs="Arial"/>
        </w:rPr>
        <w:t>A building which is social housing or where the person managing or having control of it is a profit-making registered provider of social hous</w:t>
      </w:r>
      <w:r w:rsidR="00911496">
        <w:rPr>
          <w:rFonts w:ascii="Arial" w:hAnsi="Arial" w:cs="Arial"/>
        </w:rPr>
        <w:t>ing</w:t>
      </w:r>
      <w:r>
        <w:rPr>
          <w:rFonts w:ascii="Arial" w:hAnsi="Arial" w:cs="Arial"/>
        </w:rPr>
        <w:t>.</w:t>
      </w:r>
    </w:p>
    <w:p w14:paraId="46403C80" w14:textId="4415672C" w:rsidR="00311BE0" w:rsidRPr="007D2F66" w:rsidRDefault="00D90D44" w:rsidP="007D2F66">
      <w:pPr>
        <w:pStyle w:val="ListParagraph"/>
        <w:numPr>
          <w:ilvl w:val="0"/>
          <w:numId w:val="16"/>
        </w:numPr>
        <w:spacing w:after="0" w:line="300" w:lineRule="atLeast"/>
        <w:ind w:left="1276" w:hanging="357"/>
        <w:rPr>
          <w:rFonts w:ascii="Arial" w:hAnsi="Arial" w:cs="Arial"/>
        </w:rPr>
      </w:pPr>
      <w:r>
        <w:rPr>
          <w:rFonts w:ascii="Arial" w:hAnsi="Arial" w:cs="Arial"/>
        </w:rPr>
        <w:t xml:space="preserve">A building where the person managing or having control of it is – </w:t>
      </w:r>
    </w:p>
    <w:p w14:paraId="57EF471D" w14:textId="77777777" w:rsidR="00D90D44" w:rsidRDefault="00D90D44" w:rsidP="00D90D44">
      <w:pPr>
        <w:pStyle w:val="ListParagraph"/>
        <w:numPr>
          <w:ilvl w:val="0"/>
          <w:numId w:val="32"/>
        </w:numPr>
        <w:spacing w:after="0" w:line="300" w:lineRule="atLeast"/>
        <w:rPr>
          <w:rFonts w:ascii="Arial" w:hAnsi="Arial" w:cs="Arial"/>
        </w:rPr>
      </w:pPr>
      <w:r>
        <w:rPr>
          <w:rFonts w:ascii="Arial" w:hAnsi="Arial" w:cs="Arial"/>
        </w:rPr>
        <w:t>A local authority</w:t>
      </w:r>
    </w:p>
    <w:p w14:paraId="118800F9" w14:textId="77777777" w:rsidR="00D90D44" w:rsidRDefault="00D90D44" w:rsidP="00D90D44">
      <w:pPr>
        <w:pStyle w:val="ListParagraph"/>
        <w:numPr>
          <w:ilvl w:val="0"/>
          <w:numId w:val="32"/>
        </w:numPr>
        <w:spacing w:after="0" w:line="300" w:lineRule="atLeast"/>
        <w:rPr>
          <w:rFonts w:ascii="Arial" w:hAnsi="Arial" w:cs="Arial"/>
        </w:rPr>
      </w:pPr>
      <w:r>
        <w:rPr>
          <w:rFonts w:ascii="Arial" w:hAnsi="Arial" w:cs="Arial"/>
        </w:rPr>
        <w:t>Health Service body</w:t>
      </w:r>
    </w:p>
    <w:p w14:paraId="299A1757" w14:textId="77777777" w:rsidR="00D90D44" w:rsidRDefault="00D90D44" w:rsidP="00D90D44">
      <w:pPr>
        <w:pStyle w:val="ListParagraph"/>
        <w:numPr>
          <w:ilvl w:val="0"/>
          <w:numId w:val="32"/>
        </w:numPr>
        <w:spacing w:after="0" w:line="300" w:lineRule="atLeast"/>
        <w:rPr>
          <w:rFonts w:ascii="Arial" w:hAnsi="Arial" w:cs="Arial"/>
        </w:rPr>
      </w:pPr>
      <w:r>
        <w:rPr>
          <w:rFonts w:ascii="Arial" w:hAnsi="Arial" w:cs="Arial"/>
        </w:rPr>
        <w:t>A non-profit registered provider of social housing</w:t>
      </w:r>
    </w:p>
    <w:p w14:paraId="177E3801" w14:textId="77777777" w:rsidR="00D90D44" w:rsidRDefault="00D90D44" w:rsidP="00D90D44">
      <w:pPr>
        <w:pStyle w:val="ListParagraph"/>
        <w:numPr>
          <w:ilvl w:val="0"/>
          <w:numId w:val="32"/>
        </w:numPr>
        <w:spacing w:after="0" w:line="300" w:lineRule="atLeast"/>
        <w:rPr>
          <w:rFonts w:ascii="Arial" w:hAnsi="Arial" w:cs="Arial"/>
        </w:rPr>
      </w:pPr>
      <w:r>
        <w:rPr>
          <w:rFonts w:ascii="Arial" w:hAnsi="Arial" w:cs="Arial"/>
        </w:rPr>
        <w:t>Police and crime commissioner and the mayor’s office for policing and crime</w:t>
      </w:r>
    </w:p>
    <w:p w14:paraId="60373835" w14:textId="77777777" w:rsidR="00D90D44" w:rsidRDefault="00D90D44" w:rsidP="00D90D44">
      <w:pPr>
        <w:pStyle w:val="ListParagraph"/>
        <w:numPr>
          <w:ilvl w:val="0"/>
          <w:numId w:val="32"/>
        </w:numPr>
        <w:spacing w:after="0" w:line="300" w:lineRule="atLeast"/>
        <w:rPr>
          <w:rFonts w:ascii="Arial" w:hAnsi="Arial" w:cs="Arial"/>
        </w:rPr>
      </w:pPr>
      <w:r>
        <w:rPr>
          <w:rFonts w:ascii="Arial" w:hAnsi="Arial" w:cs="Arial"/>
        </w:rPr>
        <w:t>Fire and rescue authority</w:t>
      </w:r>
    </w:p>
    <w:p w14:paraId="41742BC9" w14:textId="77777777" w:rsidR="00D90D44" w:rsidRPr="00D90D44" w:rsidRDefault="00D90D44" w:rsidP="00D90D44">
      <w:pPr>
        <w:pStyle w:val="ListParagraph"/>
        <w:spacing w:after="0" w:line="300" w:lineRule="atLeast"/>
        <w:ind w:left="1996"/>
        <w:rPr>
          <w:rFonts w:ascii="Arial" w:hAnsi="Arial" w:cs="Arial"/>
        </w:rPr>
      </w:pPr>
    </w:p>
    <w:p w14:paraId="20C09264" w14:textId="77777777" w:rsidR="00D90D44" w:rsidRDefault="00D90D44" w:rsidP="00E810AA">
      <w:pPr>
        <w:pStyle w:val="ListParagraph"/>
        <w:numPr>
          <w:ilvl w:val="0"/>
          <w:numId w:val="16"/>
        </w:numPr>
        <w:spacing w:after="0" w:line="300" w:lineRule="atLeast"/>
        <w:ind w:left="1276" w:hanging="357"/>
        <w:rPr>
          <w:rFonts w:ascii="Arial" w:hAnsi="Arial" w:cs="Arial"/>
        </w:rPr>
      </w:pPr>
      <w:r>
        <w:rPr>
          <w:rFonts w:ascii="Arial" w:hAnsi="Arial" w:cs="Arial"/>
        </w:rPr>
        <w:lastRenderedPageBreak/>
        <w:t xml:space="preserve">A building controlled or managed by a co-operative society where no person who occupies premises in the building does so by virtue of an assured tenancy, a secure tenancy or a protected tenancy. </w:t>
      </w:r>
    </w:p>
    <w:p w14:paraId="16BCCE0A" w14:textId="77777777" w:rsidR="00D90D44" w:rsidRDefault="00D90D44" w:rsidP="00E810AA">
      <w:pPr>
        <w:pStyle w:val="ListParagraph"/>
        <w:numPr>
          <w:ilvl w:val="0"/>
          <w:numId w:val="16"/>
        </w:numPr>
        <w:spacing w:after="0" w:line="300" w:lineRule="atLeast"/>
        <w:ind w:left="1276" w:hanging="357"/>
        <w:rPr>
          <w:rFonts w:ascii="Arial" w:hAnsi="Arial" w:cs="Arial"/>
        </w:rPr>
      </w:pPr>
      <w:r>
        <w:rPr>
          <w:rFonts w:ascii="Arial" w:hAnsi="Arial" w:cs="Arial"/>
        </w:rPr>
        <w:t>Buildings regulated otherwise than under the Housing Act 2004</w:t>
      </w:r>
    </w:p>
    <w:p w14:paraId="64390297" w14:textId="77777777" w:rsidR="00D90D44" w:rsidRDefault="00D90D44" w:rsidP="00D90D44">
      <w:pPr>
        <w:pStyle w:val="ListParagraph"/>
        <w:numPr>
          <w:ilvl w:val="0"/>
          <w:numId w:val="33"/>
        </w:numPr>
        <w:spacing w:after="0" w:line="300" w:lineRule="atLeast"/>
        <w:rPr>
          <w:rFonts w:ascii="Arial" w:hAnsi="Arial" w:cs="Arial"/>
        </w:rPr>
      </w:pPr>
      <w:r>
        <w:rPr>
          <w:rFonts w:ascii="Arial" w:hAnsi="Arial" w:cs="Arial"/>
        </w:rPr>
        <w:t xml:space="preserve">Any building whose occupation is regulated otherwise than by or under the Housing Act and which is of a description specified in regulations made by the appropriate national authority; </w:t>
      </w:r>
    </w:p>
    <w:p w14:paraId="7A253418" w14:textId="77777777" w:rsidR="00D90D44" w:rsidRDefault="00D90D44" w:rsidP="00D90D44">
      <w:pPr>
        <w:pStyle w:val="ListParagraph"/>
        <w:numPr>
          <w:ilvl w:val="0"/>
          <w:numId w:val="33"/>
        </w:numPr>
        <w:spacing w:after="0" w:line="300" w:lineRule="atLeast"/>
        <w:rPr>
          <w:rFonts w:ascii="Arial" w:hAnsi="Arial" w:cs="Arial"/>
        </w:rPr>
      </w:pPr>
      <w:r>
        <w:rPr>
          <w:rFonts w:ascii="Arial" w:hAnsi="Arial" w:cs="Arial"/>
        </w:rPr>
        <w:t>Educational establishments;</w:t>
      </w:r>
    </w:p>
    <w:p w14:paraId="004C6360" w14:textId="77777777" w:rsidR="00D90D44" w:rsidRDefault="00D90D44" w:rsidP="00D90D44">
      <w:pPr>
        <w:pStyle w:val="ListParagraph"/>
        <w:numPr>
          <w:ilvl w:val="0"/>
          <w:numId w:val="33"/>
        </w:numPr>
        <w:spacing w:after="0" w:line="300" w:lineRule="atLeast"/>
        <w:rPr>
          <w:rFonts w:ascii="Arial" w:hAnsi="Arial" w:cs="Arial"/>
        </w:rPr>
      </w:pPr>
      <w:r>
        <w:rPr>
          <w:rFonts w:ascii="Arial" w:hAnsi="Arial" w:cs="Arial"/>
        </w:rPr>
        <w:t xml:space="preserve">Buildings occupied by religious communities; </w:t>
      </w:r>
    </w:p>
    <w:p w14:paraId="0D8D07A9" w14:textId="77777777" w:rsidR="00D90D44" w:rsidRPr="0042478F" w:rsidRDefault="004D535A" w:rsidP="0042478F">
      <w:pPr>
        <w:pStyle w:val="ListParagraph"/>
        <w:numPr>
          <w:ilvl w:val="0"/>
          <w:numId w:val="33"/>
        </w:numPr>
        <w:spacing w:after="0" w:line="300" w:lineRule="atLeast"/>
        <w:rPr>
          <w:rFonts w:ascii="Arial" w:hAnsi="Arial" w:cs="Arial"/>
        </w:rPr>
      </w:pPr>
      <w:r>
        <w:rPr>
          <w:rFonts w:ascii="Arial" w:hAnsi="Arial" w:cs="Arial"/>
        </w:rPr>
        <w:t xml:space="preserve">Any building </w:t>
      </w:r>
      <w:r w:rsidR="0042478F">
        <w:rPr>
          <w:rFonts w:ascii="Arial" w:hAnsi="Arial" w:cs="Arial"/>
        </w:rPr>
        <w:t>which is occupied only by: one or more persons who have either the freehold estate or a leasehold interest granted for a term of more than 21 years; any member of the household of such a person.</w:t>
      </w:r>
    </w:p>
    <w:p w14:paraId="766B9132" w14:textId="77777777" w:rsidR="00C22DF2" w:rsidRPr="00D90D44" w:rsidRDefault="0042478F" w:rsidP="00E810AA">
      <w:pPr>
        <w:pStyle w:val="ListParagraph"/>
        <w:numPr>
          <w:ilvl w:val="0"/>
          <w:numId w:val="16"/>
        </w:numPr>
        <w:spacing w:after="0" w:line="300" w:lineRule="atLeast"/>
        <w:ind w:left="1276" w:hanging="357"/>
        <w:rPr>
          <w:rFonts w:ascii="Arial" w:hAnsi="Arial" w:cs="Arial"/>
          <w:i/>
        </w:rPr>
      </w:pPr>
      <w:r>
        <w:rPr>
          <w:rFonts w:ascii="Arial" w:hAnsi="Arial" w:cs="Arial"/>
        </w:rPr>
        <w:t xml:space="preserve">Any building which is occupied only by two persons who form two households. </w:t>
      </w:r>
    </w:p>
    <w:p w14:paraId="17AE1938" w14:textId="77777777" w:rsidR="00C22DF2" w:rsidRPr="00E810AA" w:rsidRDefault="00C22DF2" w:rsidP="00E810AA">
      <w:pPr>
        <w:pStyle w:val="ListParagraph"/>
        <w:spacing w:after="0" w:line="300" w:lineRule="atLeast"/>
        <w:ind w:left="1276"/>
        <w:rPr>
          <w:rFonts w:ascii="Arial" w:hAnsi="Arial" w:cs="Arial"/>
        </w:rPr>
      </w:pPr>
    </w:p>
    <w:p w14:paraId="0D0A2E2C" w14:textId="4E3BC1A7" w:rsidR="00085A56" w:rsidRDefault="00085A56" w:rsidP="00E810AA">
      <w:pPr>
        <w:pStyle w:val="ListParagraph"/>
        <w:numPr>
          <w:ilvl w:val="1"/>
          <w:numId w:val="18"/>
        </w:numPr>
        <w:spacing w:after="0" w:line="300" w:lineRule="atLeast"/>
        <w:ind w:left="709" w:hanging="720"/>
        <w:contextualSpacing w:val="0"/>
        <w:rPr>
          <w:rFonts w:ascii="Arial" w:hAnsi="Arial" w:cs="Arial"/>
        </w:rPr>
      </w:pPr>
      <w:r w:rsidRPr="00E810AA">
        <w:rPr>
          <w:rFonts w:ascii="Arial" w:hAnsi="Arial" w:cs="Arial"/>
        </w:rPr>
        <w:t>Any properties falling into the above categories cannot be identified as a HMO and therefore cannot be considered as falling with</w:t>
      </w:r>
      <w:r w:rsidR="005D2283">
        <w:rPr>
          <w:rFonts w:ascii="Arial" w:hAnsi="Arial" w:cs="Arial"/>
        </w:rPr>
        <w:t>in</w:t>
      </w:r>
      <w:r w:rsidRPr="00E810AA">
        <w:rPr>
          <w:rFonts w:ascii="Arial" w:hAnsi="Arial" w:cs="Arial"/>
        </w:rPr>
        <w:t xml:space="preserve"> the C4 Use Class described above. There are three possible Use Class categories defined within the Use Classes order which the above properties </w:t>
      </w:r>
      <w:r w:rsidR="005D2283">
        <w:rPr>
          <w:rFonts w:ascii="Arial" w:hAnsi="Arial" w:cs="Arial"/>
        </w:rPr>
        <w:t xml:space="preserve">at paragraph 3.4 </w:t>
      </w:r>
      <w:r w:rsidRPr="00E810AA">
        <w:rPr>
          <w:rFonts w:ascii="Arial" w:hAnsi="Arial" w:cs="Arial"/>
        </w:rPr>
        <w:t xml:space="preserve">can be identified within: </w:t>
      </w:r>
    </w:p>
    <w:p w14:paraId="43BAB5F2" w14:textId="77777777" w:rsidR="005D2283" w:rsidRPr="00E810AA" w:rsidRDefault="005D2283" w:rsidP="005D2283">
      <w:pPr>
        <w:pStyle w:val="ListParagraph"/>
        <w:spacing w:after="0" w:line="300" w:lineRule="atLeast"/>
        <w:ind w:left="709"/>
        <w:contextualSpacing w:val="0"/>
        <w:rPr>
          <w:rFonts w:ascii="Arial" w:hAnsi="Arial" w:cs="Arial"/>
        </w:rPr>
      </w:pPr>
    </w:p>
    <w:p w14:paraId="5A9A03A2" w14:textId="23F12EB7" w:rsidR="00085A56" w:rsidRPr="00E810AA" w:rsidRDefault="00085A56" w:rsidP="00E810AA">
      <w:pPr>
        <w:pStyle w:val="ListParagraph"/>
        <w:numPr>
          <w:ilvl w:val="1"/>
          <w:numId w:val="17"/>
        </w:numPr>
        <w:spacing w:after="0" w:line="300" w:lineRule="atLeast"/>
        <w:ind w:left="1134"/>
        <w:contextualSpacing w:val="0"/>
        <w:rPr>
          <w:rFonts w:ascii="Arial" w:hAnsi="Arial" w:cs="Arial"/>
        </w:rPr>
      </w:pPr>
      <w:r w:rsidRPr="00E810AA">
        <w:rPr>
          <w:rFonts w:ascii="Arial" w:hAnsi="Arial" w:cs="Arial"/>
        </w:rPr>
        <w:t xml:space="preserve">C3(b) – for properties with no more than six residents living together as a single household and where care is provided for </w:t>
      </w:r>
      <w:r w:rsidR="005D2283" w:rsidRPr="00E810AA">
        <w:rPr>
          <w:rFonts w:ascii="Arial" w:hAnsi="Arial" w:cs="Arial"/>
        </w:rPr>
        <w:t>residents:</w:t>
      </w:r>
      <w:r w:rsidRPr="00E810AA">
        <w:rPr>
          <w:rFonts w:ascii="Arial" w:hAnsi="Arial" w:cs="Arial"/>
        </w:rPr>
        <w:t xml:space="preserve"> or </w:t>
      </w:r>
    </w:p>
    <w:p w14:paraId="618A39C9" w14:textId="77777777" w:rsidR="00085A56" w:rsidRPr="00E810AA" w:rsidRDefault="00085A56" w:rsidP="00E810AA">
      <w:pPr>
        <w:pStyle w:val="ListParagraph"/>
        <w:numPr>
          <w:ilvl w:val="1"/>
          <w:numId w:val="17"/>
        </w:numPr>
        <w:spacing w:after="0" w:line="300" w:lineRule="atLeast"/>
        <w:ind w:left="1134"/>
        <w:contextualSpacing w:val="0"/>
        <w:rPr>
          <w:rFonts w:ascii="Arial" w:hAnsi="Arial" w:cs="Arial"/>
        </w:rPr>
      </w:pPr>
      <w:r w:rsidRPr="00E810AA">
        <w:rPr>
          <w:rFonts w:ascii="Arial" w:hAnsi="Arial" w:cs="Arial"/>
        </w:rPr>
        <w:t xml:space="preserve">C3(c) – for properties with no more than six residents living together as a single household where no care is provided to residents; or </w:t>
      </w:r>
    </w:p>
    <w:p w14:paraId="0ED7CF5B" w14:textId="77777777" w:rsidR="00C22DF2" w:rsidRDefault="00085A56" w:rsidP="00E810AA">
      <w:pPr>
        <w:pStyle w:val="ListParagraph"/>
        <w:numPr>
          <w:ilvl w:val="1"/>
          <w:numId w:val="17"/>
        </w:numPr>
        <w:spacing w:after="0" w:line="300" w:lineRule="atLeast"/>
        <w:ind w:left="1134"/>
        <w:rPr>
          <w:rFonts w:ascii="Arial" w:hAnsi="Arial" w:cs="Arial"/>
        </w:rPr>
      </w:pPr>
      <w:r w:rsidRPr="00E810AA">
        <w:rPr>
          <w:rFonts w:ascii="Arial" w:hAnsi="Arial" w:cs="Arial"/>
        </w:rPr>
        <w:t xml:space="preserve">Sui Generis, which is a category for any uses which do not fit within the other classes </w:t>
      </w:r>
    </w:p>
    <w:p w14:paraId="083A88CA" w14:textId="77777777" w:rsidR="00F71908" w:rsidRPr="00CA627D" w:rsidRDefault="00F71908" w:rsidP="00CA627D">
      <w:pPr>
        <w:spacing w:after="0" w:line="300" w:lineRule="atLeast"/>
        <w:ind w:left="774"/>
        <w:rPr>
          <w:rFonts w:ascii="Arial" w:hAnsi="Arial" w:cs="Arial"/>
        </w:rPr>
      </w:pPr>
    </w:p>
    <w:p w14:paraId="489E5FBC" w14:textId="713A9B99" w:rsidR="00C22DF2" w:rsidRDefault="00C22DF2" w:rsidP="00E810AA">
      <w:pPr>
        <w:spacing w:after="0" w:line="300" w:lineRule="atLeast"/>
        <w:ind w:left="709" w:hanging="709"/>
        <w:rPr>
          <w:rFonts w:ascii="Arial" w:hAnsi="Arial" w:cs="Arial"/>
        </w:rPr>
      </w:pPr>
      <w:r w:rsidRPr="00E810AA">
        <w:rPr>
          <w:rFonts w:ascii="Arial" w:hAnsi="Arial" w:cs="Arial"/>
        </w:rPr>
        <w:t>3.6</w:t>
      </w:r>
      <w:r w:rsidRPr="00E810AA">
        <w:rPr>
          <w:rFonts w:ascii="Arial" w:hAnsi="Arial" w:cs="Arial"/>
        </w:rPr>
        <w:tab/>
        <w:t xml:space="preserve">Shared housing that is managed by a registered provider or public body is </w:t>
      </w:r>
      <w:r w:rsidR="00E97DA2" w:rsidRPr="00E810AA">
        <w:rPr>
          <w:rFonts w:ascii="Arial" w:hAnsi="Arial" w:cs="Arial"/>
        </w:rPr>
        <w:t xml:space="preserve">also </w:t>
      </w:r>
      <w:r w:rsidRPr="00E810AA">
        <w:rPr>
          <w:rFonts w:ascii="Arial" w:hAnsi="Arial" w:cs="Arial"/>
        </w:rPr>
        <w:t xml:space="preserve">excluded from the definition of an HMO. </w:t>
      </w:r>
      <w:r w:rsidR="00F71908">
        <w:rPr>
          <w:rFonts w:ascii="Arial" w:hAnsi="Arial" w:cs="Arial"/>
        </w:rPr>
        <w:t xml:space="preserve"> </w:t>
      </w:r>
      <w:r w:rsidR="00CA627D">
        <w:rPr>
          <w:rFonts w:ascii="Arial" w:hAnsi="Arial" w:cs="Arial"/>
        </w:rPr>
        <w:t>The amount</w:t>
      </w:r>
      <w:r w:rsidRPr="00E810AA">
        <w:rPr>
          <w:rFonts w:ascii="Arial" w:hAnsi="Arial" w:cs="Arial"/>
        </w:rPr>
        <w:t xml:space="preserve"> of </w:t>
      </w:r>
      <w:r w:rsidR="00CA627D">
        <w:rPr>
          <w:rFonts w:ascii="Arial" w:hAnsi="Arial" w:cs="Arial"/>
        </w:rPr>
        <w:t>this type of accommodation has</w:t>
      </w:r>
      <w:r w:rsidRPr="00E810AA">
        <w:rPr>
          <w:rFonts w:ascii="Arial" w:hAnsi="Arial" w:cs="Arial"/>
        </w:rPr>
        <w:t xml:space="preserve"> grown rapidly in the Borough in recent years. </w:t>
      </w:r>
      <w:r w:rsidR="00F71908">
        <w:rPr>
          <w:rFonts w:ascii="Arial" w:hAnsi="Arial" w:cs="Arial"/>
        </w:rPr>
        <w:t xml:space="preserve"> </w:t>
      </w:r>
      <w:r w:rsidRPr="00E810AA">
        <w:rPr>
          <w:rFonts w:ascii="Arial" w:hAnsi="Arial" w:cs="Arial"/>
        </w:rPr>
        <w:t>It is recognised that such properties have similar characteristics to HMOs and therefore have potentially similar impact on local areas.  It is therefore reasonable to</w:t>
      </w:r>
      <w:r w:rsidR="005D2283">
        <w:rPr>
          <w:rFonts w:ascii="Arial" w:hAnsi="Arial" w:cs="Arial"/>
        </w:rPr>
        <w:t xml:space="preserve"> consider</w:t>
      </w:r>
      <w:r w:rsidRPr="00E810AA">
        <w:rPr>
          <w:rFonts w:ascii="Arial" w:hAnsi="Arial" w:cs="Arial"/>
        </w:rPr>
        <w:t xml:space="preserve"> both HMOs and exempt accommodation </w:t>
      </w:r>
      <w:r w:rsidR="005D2283">
        <w:rPr>
          <w:rFonts w:ascii="Arial" w:hAnsi="Arial" w:cs="Arial"/>
        </w:rPr>
        <w:t xml:space="preserve">to be </w:t>
      </w:r>
      <w:r w:rsidRPr="00E810AA">
        <w:rPr>
          <w:rFonts w:ascii="Arial" w:hAnsi="Arial" w:cs="Arial"/>
        </w:rPr>
        <w:t>considered together when as</w:t>
      </w:r>
      <w:r w:rsidR="00CA627D">
        <w:rPr>
          <w:rFonts w:ascii="Arial" w:hAnsi="Arial" w:cs="Arial"/>
        </w:rPr>
        <w:t>sessing the cumulative impact of the</w:t>
      </w:r>
      <w:r w:rsidRPr="00E810AA">
        <w:rPr>
          <w:rFonts w:ascii="Arial" w:hAnsi="Arial" w:cs="Arial"/>
        </w:rPr>
        <w:t>s</w:t>
      </w:r>
      <w:r w:rsidR="00CA627D">
        <w:rPr>
          <w:rFonts w:ascii="Arial" w:hAnsi="Arial" w:cs="Arial"/>
        </w:rPr>
        <w:t>e</w:t>
      </w:r>
      <w:r w:rsidRPr="00E810AA">
        <w:rPr>
          <w:rFonts w:ascii="Arial" w:hAnsi="Arial" w:cs="Arial"/>
        </w:rPr>
        <w:t xml:space="preserve"> type</w:t>
      </w:r>
      <w:r w:rsidR="00CA627D">
        <w:rPr>
          <w:rFonts w:ascii="Arial" w:hAnsi="Arial" w:cs="Arial"/>
        </w:rPr>
        <w:t>s</w:t>
      </w:r>
      <w:r w:rsidRPr="00E810AA">
        <w:rPr>
          <w:rFonts w:ascii="Arial" w:hAnsi="Arial" w:cs="Arial"/>
        </w:rPr>
        <w:t xml:space="preserve"> of accommodation.</w:t>
      </w:r>
      <w:r w:rsidR="00F71908">
        <w:rPr>
          <w:rFonts w:ascii="Arial" w:hAnsi="Arial" w:cs="Arial"/>
        </w:rPr>
        <w:t xml:space="preserve"> </w:t>
      </w:r>
      <w:r w:rsidR="00CA627D">
        <w:rPr>
          <w:rFonts w:ascii="Arial" w:hAnsi="Arial" w:cs="Arial"/>
        </w:rPr>
        <w:t xml:space="preserve"> </w:t>
      </w:r>
    </w:p>
    <w:p w14:paraId="7ECB8B88" w14:textId="77777777" w:rsidR="00F71908" w:rsidRPr="00E810AA" w:rsidRDefault="00F71908" w:rsidP="00E810AA">
      <w:pPr>
        <w:spacing w:after="0" w:line="300" w:lineRule="atLeast"/>
        <w:ind w:left="709" w:hanging="709"/>
        <w:rPr>
          <w:rFonts w:ascii="Arial" w:hAnsi="Arial" w:cs="Arial"/>
        </w:rPr>
      </w:pPr>
    </w:p>
    <w:p w14:paraId="61B4D13F" w14:textId="77777777" w:rsidR="00F14430" w:rsidRPr="00F71908" w:rsidRDefault="00F14430" w:rsidP="00E810AA">
      <w:pPr>
        <w:pStyle w:val="ListParagraph"/>
        <w:spacing w:after="0" w:line="300" w:lineRule="atLeast"/>
        <w:ind w:left="709"/>
        <w:contextualSpacing w:val="0"/>
        <w:rPr>
          <w:rFonts w:ascii="Arial" w:hAnsi="Arial" w:cs="Arial"/>
          <w:b/>
        </w:rPr>
      </w:pPr>
      <w:r w:rsidRPr="00F71908">
        <w:rPr>
          <w:rFonts w:ascii="Arial" w:hAnsi="Arial" w:cs="Arial"/>
          <w:b/>
        </w:rPr>
        <w:t>Permitted Development and HMO</w:t>
      </w:r>
      <w:r w:rsidR="00F71908">
        <w:rPr>
          <w:rFonts w:ascii="Arial" w:hAnsi="Arial" w:cs="Arial"/>
          <w:b/>
        </w:rPr>
        <w:t>s</w:t>
      </w:r>
    </w:p>
    <w:p w14:paraId="70CC4D01" w14:textId="77777777" w:rsidR="00F71908" w:rsidRPr="00E810AA" w:rsidRDefault="00F71908" w:rsidP="00E810AA">
      <w:pPr>
        <w:pStyle w:val="ListParagraph"/>
        <w:spacing w:after="0" w:line="300" w:lineRule="atLeast"/>
        <w:ind w:left="709"/>
        <w:contextualSpacing w:val="0"/>
        <w:rPr>
          <w:rFonts w:ascii="Arial" w:hAnsi="Arial" w:cs="Arial"/>
          <w:u w:val="single"/>
        </w:rPr>
      </w:pPr>
    </w:p>
    <w:p w14:paraId="68B30783" w14:textId="3EDB3C26" w:rsidR="00873E12" w:rsidRDefault="00873E12" w:rsidP="00E810AA">
      <w:pPr>
        <w:pStyle w:val="ListParagraph"/>
        <w:numPr>
          <w:ilvl w:val="1"/>
          <w:numId w:val="19"/>
        </w:numPr>
        <w:spacing w:after="0" w:line="300" w:lineRule="atLeast"/>
        <w:ind w:left="709" w:hanging="709"/>
        <w:contextualSpacing w:val="0"/>
        <w:rPr>
          <w:rFonts w:ascii="Arial" w:hAnsi="Arial" w:cs="Arial"/>
        </w:rPr>
      </w:pPr>
      <w:r w:rsidRPr="00E810AA">
        <w:rPr>
          <w:rFonts w:ascii="Arial" w:hAnsi="Arial" w:cs="Arial"/>
        </w:rPr>
        <w:t>On 1</w:t>
      </w:r>
      <w:r w:rsidRPr="00E810AA">
        <w:rPr>
          <w:rFonts w:ascii="Arial" w:hAnsi="Arial" w:cs="Arial"/>
          <w:vertAlign w:val="superscript"/>
        </w:rPr>
        <w:t>st</w:t>
      </w:r>
      <w:r w:rsidRPr="00E810AA">
        <w:rPr>
          <w:rFonts w:ascii="Arial" w:hAnsi="Arial" w:cs="Arial"/>
        </w:rPr>
        <w:t xml:space="preserve"> October 2010, changes were introduced to permitted development rights to allow the change of use of C3 dwelling</w:t>
      </w:r>
      <w:r w:rsidR="00CA627D">
        <w:rPr>
          <w:rFonts w:ascii="Arial" w:hAnsi="Arial" w:cs="Arial"/>
        </w:rPr>
        <w:t xml:space="preserve"> </w:t>
      </w:r>
      <w:r w:rsidRPr="00E810AA">
        <w:rPr>
          <w:rFonts w:ascii="Arial" w:hAnsi="Arial" w:cs="Arial"/>
        </w:rPr>
        <w:t xml:space="preserve">houses to the new C4 use (small HMOs) without the requirement of planning permission, as set out in the General Permitted Development Order. Should Local Planning Authorities wish to exert tighter planning control on the development of HMOs, permitted development rights would have to be removed through </w:t>
      </w:r>
      <w:r w:rsidR="005D2283">
        <w:rPr>
          <w:rFonts w:ascii="Arial" w:hAnsi="Arial" w:cs="Arial"/>
        </w:rPr>
        <w:t>the</w:t>
      </w:r>
      <w:r w:rsidRPr="00E810AA">
        <w:rPr>
          <w:rFonts w:ascii="Arial" w:hAnsi="Arial" w:cs="Arial"/>
        </w:rPr>
        <w:t xml:space="preserve"> planning mechanism of Article 4 Direction of the GPDO (2015). </w:t>
      </w:r>
    </w:p>
    <w:p w14:paraId="37341903" w14:textId="77777777" w:rsidR="00F71908" w:rsidRPr="007D2F66" w:rsidRDefault="00F71908" w:rsidP="007D2F66">
      <w:pPr>
        <w:spacing w:after="0" w:line="300" w:lineRule="atLeast"/>
        <w:rPr>
          <w:rFonts w:ascii="Arial" w:hAnsi="Arial" w:cs="Arial"/>
        </w:rPr>
      </w:pPr>
    </w:p>
    <w:p w14:paraId="64B05B8F" w14:textId="77777777" w:rsidR="0075592A" w:rsidRPr="00F71908" w:rsidRDefault="00F71908" w:rsidP="00E810AA">
      <w:pPr>
        <w:pStyle w:val="ListParagraph"/>
        <w:spacing w:after="0" w:line="300" w:lineRule="atLeast"/>
        <w:ind w:left="709"/>
        <w:contextualSpacing w:val="0"/>
        <w:rPr>
          <w:rFonts w:ascii="Arial" w:hAnsi="Arial" w:cs="Arial"/>
          <w:b/>
        </w:rPr>
      </w:pPr>
      <w:r>
        <w:rPr>
          <w:rFonts w:ascii="Arial" w:hAnsi="Arial" w:cs="Arial"/>
          <w:b/>
        </w:rPr>
        <w:t>Licensing of HMOs</w:t>
      </w:r>
    </w:p>
    <w:p w14:paraId="5CB56420" w14:textId="77777777" w:rsidR="00F71908" w:rsidRPr="00E810AA" w:rsidRDefault="00F71908" w:rsidP="00E810AA">
      <w:pPr>
        <w:pStyle w:val="ListParagraph"/>
        <w:spacing w:after="0" w:line="300" w:lineRule="atLeast"/>
        <w:ind w:left="709"/>
        <w:contextualSpacing w:val="0"/>
        <w:rPr>
          <w:rFonts w:ascii="Arial" w:hAnsi="Arial" w:cs="Arial"/>
          <w:u w:val="single"/>
        </w:rPr>
      </w:pPr>
    </w:p>
    <w:p w14:paraId="35CEFE09" w14:textId="7B9F53AB" w:rsidR="005F546D" w:rsidRDefault="00BE68D0" w:rsidP="00E810AA">
      <w:pPr>
        <w:pStyle w:val="ListParagraph"/>
        <w:numPr>
          <w:ilvl w:val="1"/>
          <w:numId w:val="19"/>
        </w:numPr>
        <w:spacing w:after="0" w:line="300" w:lineRule="atLeast"/>
        <w:ind w:left="709" w:hanging="709"/>
        <w:contextualSpacing w:val="0"/>
        <w:rPr>
          <w:rFonts w:ascii="Arial" w:hAnsi="Arial" w:cs="Arial"/>
        </w:rPr>
      </w:pPr>
      <w:r w:rsidRPr="00E810AA">
        <w:rPr>
          <w:rFonts w:ascii="Arial" w:hAnsi="Arial" w:cs="Arial"/>
        </w:rPr>
        <w:lastRenderedPageBreak/>
        <w:t xml:space="preserve">Mandatory </w:t>
      </w:r>
      <w:r w:rsidR="005F546D" w:rsidRPr="00E810AA">
        <w:rPr>
          <w:rFonts w:ascii="Arial" w:hAnsi="Arial" w:cs="Arial"/>
        </w:rPr>
        <w:t xml:space="preserve">Licensing of HMOs was introduced under the 2004 Housing Act. </w:t>
      </w:r>
      <w:r w:rsidR="00F71908">
        <w:rPr>
          <w:rFonts w:ascii="Arial" w:hAnsi="Arial" w:cs="Arial"/>
        </w:rPr>
        <w:t xml:space="preserve"> </w:t>
      </w:r>
      <w:r w:rsidR="005F546D" w:rsidRPr="00E810AA">
        <w:rPr>
          <w:rFonts w:ascii="Arial" w:hAnsi="Arial" w:cs="Arial"/>
        </w:rPr>
        <w:t>HMOs which need to have a licence are those where there are five or more tenants, forming two or more households, which use shared facilities such as toilets, bathrooms, kitchens and so on</w:t>
      </w:r>
      <w:r w:rsidR="0042478F">
        <w:rPr>
          <w:rFonts w:ascii="Arial" w:hAnsi="Arial" w:cs="Arial"/>
        </w:rPr>
        <w:t>.</w:t>
      </w:r>
      <w:r w:rsidR="00427AFA">
        <w:rPr>
          <w:rFonts w:ascii="Arial" w:hAnsi="Arial" w:cs="Arial"/>
        </w:rPr>
        <w:t xml:space="preserve"> </w:t>
      </w:r>
      <w:r w:rsidRPr="00E810AA">
        <w:rPr>
          <w:rFonts w:ascii="Arial" w:hAnsi="Arial" w:cs="Arial"/>
        </w:rPr>
        <w:t xml:space="preserve">Under HMO </w:t>
      </w:r>
      <w:r w:rsidR="00260064" w:rsidRPr="00E810AA">
        <w:rPr>
          <w:rFonts w:ascii="Arial" w:hAnsi="Arial" w:cs="Arial"/>
        </w:rPr>
        <w:t xml:space="preserve">licensing legislation, a lack of planning permission is not a relevant factor when making a decision on whether to grant or refuse an HMO licence. Conversely, having planning permission in place (or not requiring it) does not mean a </w:t>
      </w:r>
      <w:r w:rsidR="003110CF" w:rsidRPr="00E810AA">
        <w:rPr>
          <w:rFonts w:ascii="Arial" w:hAnsi="Arial" w:cs="Arial"/>
        </w:rPr>
        <w:t>premises is licensed to operate an HMO</w:t>
      </w:r>
      <w:r w:rsidR="007D2F66">
        <w:rPr>
          <w:rFonts w:ascii="Arial" w:hAnsi="Arial" w:cs="Arial"/>
        </w:rPr>
        <w:t>,</w:t>
      </w:r>
      <w:r w:rsidR="003110CF" w:rsidRPr="00E810AA">
        <w:rPr>
          <w:rFonts w:ascii="Arial" w:hAnsi="Arial" w:cs="Arial"/>
        </w:rPr>
        <w:t xml:space="preserve"> and this may need to be applied for separately. </w:t>
      </w:r>
    </w:p>
    <w:p w14:paraId="60F47403" w14:textId="77777777" w:rsidR="00F71908" w:rsidRPr="00E810AA" w:rsidRDefault="00F71908" w:rsidP="00F71908">
      <w:pPr>
        <w:pStyle w:val="ListParagraph"/>
        <w:spacing w:after="0" w:line="300" w:lineRule="atLeast"/>
        <w:ind w:left="709"/>
        <w:contextualSpacing w:val="0"/>
        <w:rPr>
          <w:rFonts w:ascii="Arial" w:hAnsi="Arial" w:cs="Arial"/>
        </w:rPr>
      </w:pPr>
    </w:p>
    <w:p w14:paraId="1D1381A4" w14:textId="17201F23" w:rsidR="003110CF" w:rsidRDefault="00CA627D" w:rsidP="00E810AA">
      <w:pPr>
        <w:pStyle w:val="ListParagraph"/>
        <w:numPr>
          <w:ilvl w:val="1"/>
          <w:numId w:val="19"/>
        </w:numPr>
        <w:spacing w:after="0" w:line="300" w:lineRule="atLeast"/>
        <w:ind w:left="709" w:hanging="709"/>
        <w:contextualSpacing w:val="0"/>
        <w:rPr>
          <w:rFonts w:ascii="Arial" w:hAnsi="Arial" w:cs="Arial"/>
        </w:rPr>
      </w:pPr>
      <w:r>
        <w:rPr>
          <w:rFonts w:ascii="Arial" w:hAnsi="Arial" w:cs="Arial"/>
        </w:rPr>
        <w:t>Unlicensed HMOs relate to those smaller HMOs of 3 or</w:t>
      </w:r>
      <w:r w:rsidR="003110CF" w:rsidRPr="00E810AA">
        <w:rPr>
          <w:rFonts w:ascii="Arial" w:hAnsi="Arial" w:cs="Arial"/>
        </w:rPr>
        <w:t xml:space="preserve"> 4 unrelated people</w:t>
      </w:r>
      <w:r w:rsidR="00427AFA">
        <w:rPr>
          <w:rFonts w:ascii="Arial" w:hAnsi="Arial" w:cs="Arial"/>
        </w:rPr>
        <w:t>, or where there is an exemption to licensing under Schedule 14 of the Housing Act 200</w:t>
      </w:r>
      <w:r w:rsidR="005D2283">
        <w:rPr>
          <w:rFonts w:ascii="Arial" w:hAnsi="Arial" w:cs="Arial"/>
        </w:rPr>
        <w:t>4 as set out at paragraph 3.4 above</w:t>
      </w:r>
      <w:r w:rsidR="003110CF" w:rsidRPr="00E810AA">
        <w:rPr>
          <w:rFonts w:ascii="Arial" w:hAnsi="Arial" w:cs="Arial"/>
        </w:rPr>
        <w:t xml:space="preserve">. </w:t>
      </w:r>
    </w:p>
    <w:p w14:paraId="10612F4C" w14:textId="77777777" w:rsidR="00F71908" w:rsidRPr="00E810AA" w:rsidRDefault="00F71908" w:rsidP="00F71908">
      <w:pPr>
        <w:pStyle w:val="ListParagraph"/>
        <w:spacing w:after="0" w:line="300" w:lineRule="atLeast"/>
        <w:ind w:left="709"/>
        <w:contextualSpacing w:val="0"/>
        <w:rPr>
          <w:rFonts w:ascii="Arial" w:hAnsi="Arial" w:cs="Arial"/>
        </w:rPr>
      </w:pPr>
    </w:p>
    <w:p w14:paraId="650CA9AB" w14:textId="77777777" w:rsidR="007D2F66" w:rsidRDefault="00C43FD2" w:rsidP="00E810AA">
      <w:pPr>
        <w:pStyle w:val="ListParagraph"/>
        <w:numPr>
          <w:ilvl w:val="1"/>
          <w:numId w:val="19"/>
        </w:numPr>
        <w:spacing w:after="0" w:line="300" w:lineRule="atLeast"/>
        <w:ind w:left="709" w:hanging="709"/>
        <w:contextualSpacing w:val="0"/>
        <w:rPr>
          <w:rFonts w:ascii="Arial" w:hAnsi="Arial" w:cs="Arial"/>
        </w:rPr>
      </w:pPr>
      <w:r w:rsidRPr="00E810AA">
        <w:rPr>
          <w:rFonts w:ascii="Arial" w:hAnsi="Arial" w:cs="Arial"/>
        </w:rPr>
        <w:t>Under Part 2 of the 20</w:t>
      </w:r>
      <w:r w:rsidR="00A854BC">
        <w:rPr>
          <w:rFonts w:ascii="Arial" w:hAnsi="Arial" w:cs="Arial"/>
        </w:rPr>
        <w:t xml:space="preserve">04 Housing Act, </w:t>
      </w:r>
      <w:r w:rsidR="007D2F66">
        <w:rPr>
          <w:rFonts w:ascii="Arial" w:hAnsi="Arial" w:cs="Arial"/>
        </w:rPr>
        <w:t>C</w:t>
      </w:r>
      <w:r w:rsidR="00DA25B4" w:rsidRPr="00E810AA">
        <w:rPr>
          <w:rFonts w:ascii="Arial" w:hAnsi="Arial" w:cs="Arial"/>
        </w:rPr>
        <w:t>ouncils are</w:t>
      </w:r>
      <w:r w:rsidR="00385AFB" w:rsidRPr="00E810AA">
        <w:rPr>
          <w:rFonts w:ascii="Arial" w:hAnsi="Arial" w:cs="Arial"/>
        </w:rPr>
        <w:t xml:space="preserve"> able to designate</w:t>
      </w:r>
      <w:r w:rsidR="00F84099">
        <w:rPr>
          <w:rFonts w:ascii="Arial" w:hAnsi="Arial" w:cs="Arial"/>
        </w:rPr>
        <w:t xml:space="preserve"> an a</w:t>
      </w:r>
      <w:r w:rsidR="00DA25B4" w:rsidRPr="00E810AA">
        <w:rPr>
          <w:rFonts w:ascii="Arial" w:hAnsi="Arial" w:cs="Arial"/>
        </w:rPr>
        <w:t xml:space="preserve"> </w:t>
      </w:r>
      <w:r w:rsidR="00385AFB" w:rsidRPr="00E810AA">
        <w:rPr>
          <w:rFonts w:ascii="Arial" w:hAnsi="Arial" w:cs="Arial"/>
        </w:rPr>
        <w:t xml:space="preserve">‘Additional HMO licensing scheme’ which requires owners of all smaller HMOs (3 or 4 people) within the designated area to be licensed as </w:t>
      </w:r>
      <w:r w:rsidR="007D2F66">
        <w:rPr>
          <w:rFonts w:ascii="Arial" w:hAnsi="Arial" w:cs="Arial"/>
        </w:rPr>
        <w:t xml:space="preserve">a </w:t>
      </w:r>
      <w:r w:rsidR="00385AFB" w:rsidRPr="00E810AA">
        <w:rPr>
          <w:rFonts w:ascii="Arial" w:hAnsi="Arial" w:cs="Arial"/>
        </w:rPr>
        <w:t xml:space="preserve">HMO by </w:t>
      </w:r>
      <w:r w:rsidR="00B973F7" w:rsidRPr="00E810AA">
        <w:rPr>
          <w:rFonts w:ascii="Arial" w:hAnsi="Arial" w:cs="Arial"/>
        </w:rPr>
        <w:t>the authority, just like the larger (5 or more people) ma</w:t>
      </w:r>
      <w:r w:rsidR="009E1B88" w:rsidRPr="00E810AA">
        <w:rPr>
          <w:rFonts w:ascii="Arial" w:hAnsi="Arial" w:cs="Arial"/>
        </w:rPr>
        <w:t xml:space="preserve">ndatory HMO licensed properties. </w:t>
      </w:r>
      <w:r w:rsidR="00F71908">
        <w:rPr>
          <w:rFonts w:ascii="Arial" w:hAnsi="Arial" w:cs="Arial"/>
        </w:rPr>
        <w:t xml:space="preserve"> </w:t>
      </w:r>
      <w:r w:rsidR="009E1B88" w:rsidRPr="00E810AA">
        <w:rPr>
          <w:rFonts w:ascii="Arial" w:hAnsi="Arial" w:cs="Arial"/>
        </w:rPr>
        <w:t xml:space="preserve">To justify having an additional licensing scheme, the </w:t>
      </w:r>
      <w:r w:rsidR="007D2F66">
        <w:rPr>
          <w:rFonts w:ascii="Arial" w:hAnsi="Arial" w:cs="Arial"/>
        </w:rPr>
        <w:t>C</w:t>
      </w:r>
      <w:r w:rsidR="009E1B88" w:rsidRPr="00E810AA">
        <w:rPr>
          <w:rFonts w:ascii="Arial" w:hAnsi="Arial" w:cs="Arial"/>
        </w:rPr>
        <w:t xml:space="preserve">ouncil must be satisfied that a significant proportion of 3 and 4 person HMOs across the Borough are being managed sufficiently </w:t>
      </w:r>
      <w:r w:rsidR="00C22DF2" w:rsidRPr="00E810AA">
        <w:rPr>
          <w:rFonts w:ascii="Arial" w:hAnsi="Arial" w:cs="Arial"/>
        </w:rPr>
        <w:t>ineffective</w:t>
      </w:r>
      <w:r w:rsidR="00F84099">
        <w:rPr>
          <w:rFonts w:ascii="Arial" w:hAnsi="Arial" w:cs="Arial"/>
        </w:rPr>
        <w:t>ly</w:t>
      </w:r>
      <w:r w:rsidR="009E1B88" w:rsidRPr="00E810AA">
        <w:rPr>
          <w:rFonts w:ascii="Arial" w:hAnsi="Arial" w:cs="Arial"/>
        </w:rPr>
        <w:t xml:space="preserve"> as to give rise, or to be likely to give rise to</w:t>
      </w:r>
      <w:r w:rsidR="007D2F66">
        <w:rPr>
          <w:rFonts w:ascii="Arial" w:hAnsi="Arial" w:cs="Arial"/>
        </w:rPr>
        <w:t>,</w:t>
      </w:r>
      <w:r w:rsidR="009E1B88" w:rsidRPr="00E810AA">
        <w:rPr>
          <w:rFonts w:ascii="Arial" w:hAnsi="Arial" w:cs="Arial"/>
        </w:rPr>
        <w:t xml:space="preserve"> one or more </w:t>
      </w:r>
      <w:r w:rsidR="00F84099">
        <w:rPr>
          <w:rFonts w:ascii="Arial" w:hAnsi="Arial" w:cs="Arial"/>
        </w:rPr>
        <w:t xml:space="preserve">identified </w:t>
      </w:r>
      <w:r w:rsidR="00F84099" w:rsidRPr="00E810AA">
        <w:rPr>
          <w:rFonts w:ascii="Arial" w:hAnsi="Arial" w:cs="Arial"/>
        </w:rPr>
        <w:t>problems</w:t>
      </w:r>
      <w:r w:rsidR="009E1B88" w:rsidRPr="00E810AA">
        <w:rPr>
          <w:rFonts w:ascii="Arial" w:hAnsi="Arial" w:cs="Arial"/>
        </w:rPr>
        <w:t xml:space="preserve"> </w:t>
      </w:r>
      <w:r w:rsidR="000B1B3E" w:rsidRPr="00E810AA">
        <w:rPr>
          <w:rFonts w:ascii="Arial" w:hAnsi="Arial" w:cs="Arial"/>
        </w:rPr>
        <w:t>either for</w:t>
      </w:r>
      <w:r w:rsidR="00C75C49" w:rsidRPr="00E810AA">
        <w:rPr>
          <w:rFonts w:ascii="Arial" w:hAnsi="Arial" w:cs="Arial"/>
        </w:rPr>
        <w:t xml:space="preserve"> those occupying the HMOs or</w:t>
      </w:r>
      <w:r w:rsidR="000B1B3E" w:rsidRPr="00E810AA">
        <w:rPr>
          <w:rFonts w:ascii="Arial" w:hAnsi="Arial" w:cs="Arial"/>
        </w:rPr>
        <w:t xml:space="preserve"> members of the public. </w:t>
      </w:r>
      <w:r w:rsidR="00F71908">
        <w:rPr>
          <w:rFonts w:ascii="Arial" w:hAnsi="Arial" w:cs="Arial"/>
        </w:rPr>
        <w:t xml:space="preserve"> </w:t>
      </w:r>
    </w:p>
    <w:p w14:paraId="31D600AE" w14:textId="77777777" w:rsidR="007D2F66" w:rsidRPr="007D2F66" w:rsidRDefault="007D2F66" w:rsidP="007D2F66">
      <w:pPr>
        <w:pStyle w:val="ListParagraph"/>
        <w:rPr>
          <w:rFonts w:ascii="Arial" w:hAnsi="Arial" w:cs="Arial"/>
        </w:rPr>
      </w:pPr>
    </w:p>
    <w:p w14:paraId="7B602B5B" w14:textId="562503B9" w:rsidR="00E263BF" w:rsidRDefault="007D2F66" w:rsidP="00E810AA">
      <w:pPr>
        <w:pStyle w:val="ListParagraph"/>
        <w:numPr>
          <w:ilvl w:val="1"/>
          <w:numId w:val="19"/>
        </w:numPr>
        <w:spacing w:after="0" w:line="300" w:lineRule="atLeast"/>
        <w:ind w:left="709" w:hanging="709"/>
        <w:contextualSpacing w:val="0"/>
        <w:rPr>
          <w:rFonts w:ascii="Arial" w:hAnsi="Arial" w:cs="Arial"/>
        </w:rPr>
      </w:pPr>
      <w:r>
        <w:rPr>
          <w:rFonts w:ascii="Arial" w:hAnsi="Arial" w:cs="Arial"/>
        </w:rPr>
        <w:t>T</w:t>
      </w:r>
      <w:r w:rsidR="000B1B3E" w:rsidRPr="00E810AA">
        <w:rPr>
          <w:rFonts w:ascii="Arial" w:hAnsi="Arial" w:cs="Arial"/>
        </w:rPr>
        <w:t xml:space="preserve">he use of additional licensing must be consistent with the Council’s housing strategy and should be co-ordinated with the authority’s approach on homelessness, empty properties and antisocial behaviour. </w:t>
      </w:r>
    </w:p>
    <w:p w14:paraId="336C3D77" w14:textId="77777777" w:rsidR="00F71908" w:rsidRPr="00E810AA" w:rsidRDefault="00F71908" w:rsidP="00F71908">
      <w:pPr>
        <w:pStyle w:val="ListParagraph"/>
        <w:spacing w:after="0" w:line="300" w:lineRule="atLeast"/>
        <w:ind w:left="709"/>
        <w:contextualSpacing w:val="0"/>
        <w:rPr>
          <w:rFonts w:ascii="Arial" w:hAnsi="Arial" w:cs="Arial"/>
        </w:rPr>
      </w:pPr>
    </w:p>
    <w:p w14:paraId="5A7EDE5D" w14:textId="77777777" w:rsidR="00E263BF" w:rsidRPr="00F71908" w:rsidRDefault="005D471C" w:rsidP="00E810AA">
      <w:pPr>
        <w:pStyle w:val="ListParagraph"/>
        <w:spacing w:after="0" w:line="300" w:lineRule="atLeast"/>
        <w:ind w:left="709"/>
        <w:contextualSpacing w:val="0"/>
        <w:rPr>
          <w:rFonts w:ascii="Arial" w:hAnsi="Arial" w:cs="Arial"/>
          <w:b/>
        </w:rPr>
      </w:pPr>
      <w:r w:rsidRPr="00F71908">
        <w:rPr>
          <w:rFonts w:ascii="Arial" w:hAnsi="Arial" w:cs="Arial"/>
          <w:b/>
        </w:rPr>
        <w:t xml:space="preserve">Planning Policy on HMOs across Lancashire </w:t>
      </w:r>
    </w:p>
    <w:p w14:paraId="50257159" w14:textId="77777777" w:rsidR="00F71908" w:rsidRPr="00E810AA" w:rsidRDefault="00F71908" w:rsidP="00E810AA">
      <w:pPr>
        <w:pStyle w:val="ListParagraph"/>
        <w:spacing w:after="0" w:line="300" w:lineRule="atLeast"/>
        <w:ind w:left="709"/>
        <w:contextualSpacing w:val="0"/>
        <w:rPr>
          <w:rFonts w:ascii="Arial" w:hAnsi="Arial" w:cs="Arial"/>
          <w:u w:val="single"/>
        </w:rPr>
      </w:pPr>
    </w:p>
    <w:p w14:paraId="477A3BD2" w14:textId="547308B0" w:rsidR="00E263BF" w:rsidRDefault="00A854BC" w:rsidP="00E810AA">
      <w:pPr>
        <w:pStyle w:val="ListParagraph"/>
        <w:numPr>
          <w:ilvl w:val="1"/>
          <w:numId w:val="19"/>
        </w:numPr>
        <w:spacing w:after="0" w:line="300" w:lineRule="atLeast"/>
        <w:ind w:left="709" w:hanging="709"/>
        <w:contextualSpacing w:val="0"/>
        <w:rPr>
          <w:rFonts w:ascii="Arial" w:hAnsi="Arial" w:cs="Arial"/>
        </w:rPr>
      </w:pPr>
      <w:r>
        <w:rPr>
          <w:rFonts w:ascii="Arial" w:hAnsi="Arial" w:cs="Arial"/>
        </w:rPr>
        <w:t xml:space="preserve">A review of Lancashire authorities indicates that </w:t>
      </w:r>
      <w:r w:rsidR="00A47F6E">
        <w:rPr>
          <w:rFonts w:ascii="Arial" w:hAnsi="Arial" w:cs="Arial"/>
        </w:rPr>
        <w:t>the more urban authorities – Burnley, Preston, Lancaster, Blackburn with Darwen and Blackpool - have used powers under Article 4 to control HMO development</w:t>
      </w:r>
      <w:r w:rsidR="008E6FE3" w:rsidRPr="00E810AA">
        <w:rPr>
          <w:rFonts w:ascii="Arial" w:hAnsi="Arial" w:cs="Arial"/>
        </w:rPr>
        <w:t>, and</w:t>
      </w:r>
      <w:r w:rsidR="00A47F6E">
        <w:rPr>
          <w:rFonts w:ascii="Arial" w:hAnsi="Arial" w:cs="Arial"/>
        </w:rPr>
        <w:t xml:space="preserve"> in doing so</w:t>
      </w:r>
      <w:r w:rsidR="008E6FE3" w:rsidRPr="00E810AA">
        <w:rPr>
          <w:rFonts w:ascii="Arial" w:hAnsi="Arial" w:cs="Arial"/>
        </w:rPr>
        <w:t xml:space="preserve"> have either adopted relevant Supplementary Planning Document</w:t>
      </w:r>
      <w:r w:rsidR="00C75C49" w:rsidRPr="00E810AA">
        <w:rPr>
          <w:rFonts w:ascii="Arial" w:hAnsi="Arial" w:cs="Arial"/>
        </w:rPr>
        <w:t>s</w:t>
      </w:r>
      <w:r w:rsidR="008E6FE3" w:rsidRPr="00E810AA">
        <w:rPr>
          <w:rFonts w:ascii="Arial" w:hAnsi="Arial" w:cs="Arial"/>
        </w:rPr>
        <w:t xml:space="preserve"> or introduced policies within the development plan documents with regard to HMO developments.</w:t>
      </w:r>
      <w:r w:rsidR="00F71908">
        <w:rPr>
          <w:rFonts w:ascii="Arial" w:hAnsi="Arial" w:cs="Arial"/>
        </w:rPr>
        <w:t xml:space="preserve"> </w:t>
      </w:r>
    </w:p>
    <w:p w14:paraId="3755D4FC" w14:textId="77777777" w:rsidR="00F71908" w:rsidRPr="00E810AA" w:rsidRDefault="00F71908" w:rsidP="00F71908">
      <w:pPr>
        <w:pStyle w:val="ListParagraph"/>
        <w:spacing w:after="0" w:line="300" w:lineRule="atLeast"/>
        <w:ind w:left="709"/>
        <w:contextualSpacing w:val="0"/>
        <w:rPr>
          <w:rFonts w:ascii="Arial" w:hAnsi="Arial" w:cs="Arial"/>
        </w:rPr>
      </w:pPr>
    </w:p>
    <w:tbl>
      <w:tblPr>
        <w:tblStyle w:val="TableGrid"/>
        <w:tblW w:w="8177" w:type="dxa"/>
        <w:tblInd w:w="846" w:type="dxa"/>
        <w:tblLook w:val="04A0" w:firstRow="1" w:lastRow="0" w:firstColumn="1" w:lastColumn="0" w:noHBand="0" w:noVBand="1"/>
      </w:tblPr>
      <w:tblGrid>
        <w:gridCol w:w="1940"/>
        <w:gridCol w:w="1276"/>
        <w:gridCol w:w="4961"/>
      </w:tblGrid>
      <w:tr w:rsidR="004D4D6B" w:rsidRPr="00F71908" w14:paraId="772FF23C" w14:textId="77777777" w:rsidTr="00311BE0">
        <w:tc>
          <w:tcPr>
            <w:tcW w:w="1940" w:type="dxa"/>
            <w:shd w:val="clear" w:color="auto" w:fill="7030A0"/>
          </w:tcPr>
          <w:p w14:paraId="72D89E63" w14:textId="77777777" w:rsidR="004D4D6B" w:rsidRPr="00311BE0" w:rsidRDefault="008E6FE3" w:rsidP="00E810AA">
            <w:pPr>
              <w:pStyle w:val="ListParagraph"/>
              <w:spacing w:line="300" w:lineRule="atLeast"/>
              <w:ind w:left="0"/>
              <w:contextualSpacing w:val="0"/>
              <w:rPr>
                <w:rFonts w:ascii="Arial" w:hAnsi="Arial" w:cs="Arial"/>
                <w:b/>
                <w:color w:val="FFFFFF" w:themeColor="background1"/>
              </w:rPr>
            </w:pPr>
            <w:r w:rsidRPr="00311BE0">
              <w:rPr>
                <w:rFonts w:ascii="Arial" w:hAnsi="Arial" w:cs="Arial"/>
                <w:b/>
                <w:color w:val="FFFFFF" w:themeColor="background1"/>
              </w:rPr>
              <w:t xml:space="preserve">Local Planning Authority </w:t>
            </w:r>
          </w:p>
        </w:tc>
        <w:tc>
          <w:tcPr>
            <w:tcW w:w="1276" w:type="dxa"/>
            <w:shd w:val="clear" w:color="auto" w:fill="7030A0"/>
          </w:tcPr>
          <w:p w14:paraId="7B4129CE" w14:textId="77777777" w:rsidR="004D4D6B" w:rsidRPr="00311BE0" w:rsidRDefault="008E6FE3" w:rsidP="00E810AA">
            <w:pPr>
              <w:pStyle w:val="ListParagraph"/>
              <w:spacing w:line="300" w:lineRule="atLeast"/>
              <w:ind w:left="0"/>
              <w:contextualSpacing w:val="0"/>
              <w:rPr>
                <w:rFonts w:ascii="Arial" w:hAnsi="Arial" w:cs="Arial"/>
                <w:b/>
                <w:color w:val="FFFFFF" w:themeColor="background1"/>
              </w:rPr>
            </w:pPr>
            <w:r w:rsidRPr="00311BE0">
              <w:rPr>
                <w:rFonts w:ascii="Arial" w:hAnsi="Arial" w:cs="Arial"/>
                <w:b/>
                <w:color w:val="FFFFFF" w:themeColor="background1"/>
              </w:rPr>
              <w:t xml:space="preserve">Article 4  Direction </w:t>
            </w:r>
            <w:r w:rsidR="004D4D6B" w:rsidRPr="00311BE0">
              <w:rPr>
                <w:rFonts w:ascii="Arial" w:hAnsi="Arial" w:cs="Arial"/>
                <w:b/>
                <w:color w:val="FFFFFF" w:themeColor="background1"/>
              </w:rPr>
              <w:t xml:space="preserve"> </w:t>
            </w:r>
          </w:p>
        </w:tc>
        <w:tc>
          <w:tcPr>
            <w:tcW w:w="4961" w:type="dxa"/>
            <w:shd w:val="clear" w:color="auto" w:fill="7030A0"/>
          </w:tcPr>
          <w:p w14:paraId="0DEDCF22" w14:textId="77777777" w:rsidR="004D4D6B" w:rsidRPr="00311BE0" w:rsidRDefault="008E6FE3" w:rsidP="00E810AA">
            <w:pPr>
              <w:pStyle w:val="ListParagraph"/>
              <w:spacing w:line="300" w:lineRule="atLeast"/>
              <w:ind w:left="0"/>
              <w:contextualSpacing w:val="0"/>
              <w:rPr>
                <w:rFonts w:ascii="Arial" w:hAnsi="Arial" w:cs="Arial"/>
                <w:b/>
                <w:color w:val="FFFFFF" w:themeColor="background1"/>
              </w:rPr>
            </w:pPr>
            <w:r w:rsidRPr="00311BE0">
              <w:rPr>
                <w:rFonts w:ascii="Arial" w:hAnsi="Arial" w:cs="Arial"/>
                <w:b/>
                <w:color w:val="FFFFFF" w:themeColor="background1"/>
              </w:rPr>
              <w:t xml:space="preserve">Relevant Planning Policies </w:t>
            </w:r>
            <w:r w:rsidR="004D4D6B" w:rsidRPr="00311BE0">
              <w:rPr>
                <w:rFonts w:ascii="Arial" w:hAnsi="Arial" w:cs="Arial"/>
                <w:b/>
                <w:color w:val="FFFFFF" w:themeColor="background1"/>
              </w:rPr>
              <w:t xml:space="preserve"> </w:t>
            </w:r>
          </w:p>
        </w:tc>
      </w:tr>
      <w:tr w:rsidR="008E6FE3" w:rsidRPr="00E810AA" w14:paraId="658A2390" w14:textId="77777777" w:rsidTr="00F71908">
        <w:tc>
          <w:tcPr>
            <w:tcW w:w="1940" w:type="dxa"/>
          </w:tcPr>
          <w:p w14:paraId="056CF26B" w14:textId="77777777" w:rsidR="008E6FE3" w:rsidRPr="00E810AA" w:rsidRDefault="008E6FE3" w:rsidP="00E810AA">
            <w:pPr>
              <w:pStyle w:val="ListParagraph"/>
              <w:spacing w:line="300" w:lineRule="atLeast"/>
              <w:ind w:left="0"/>
              <w:contextualSpacing w:val="0"/>
              <w:rPr>
                <w:rFonts w:ascii="Arial" w:hAnsi="Arial" w:cs="Arial"/>
              </w:rPr>
            </w:pPr>
            <w:r w:rsidRPr="00E810AA">
              <w:rPr>
                <w:rFonts w:ascii="Arial" w:hAnsi="Arial" w:cs="Arial"/>
              </w:rPr>
              <w:t>Burnley</w:t>
            </w:r>
          </w:p>
        </w:tc>
        <w:tc>
          <w:tcPr>
            <w:tcW w:w="1276" w:type="dxa"/>
          </w:tcPr>
          <w:p w14:paraId="3F9CA7D9" w14:textId="77777777" w:rsidR="008E6FE3" w:rsidRPr="00E810AA" w:rsidRDefault="008E6FE3" w:rsidP="001F7B54">
            <w:pPr>
              <w:pStyle w:val="ListParagraph"/>
              <w:spacing w:line="300" w:lineRule="atLeast"/>
              <w:ind w:left="0"/>
              <w:contextualSpacing w:val="0"/>
              <w:jc w:val="center"/>
              <w:rPr>
                <w:rFonts w:ascii="Arial" w:hAnsi="Arial" w:cs="Arial"/>
              </w:rPr>
            </w:pPr>
            <w:r w:rsidRPr="00E810AA">
              <w:rPr>
                <w:rFonts w:ascii="Arial" w:hAnsi="Arial" w:cs="Arial"/>
              </w:rPr>
              <w:t>Yes</w:t>
            </w:r>
          </w:p>
        </w:tc>
        <w:tc>
          <w:tcPr>
            <w:tcW w:w="4961" w:type="dxa"/>
          </w:tcPr>
          <w:p w14:paraId="77DFF36A" w14:textId="77777777" w:rsidR="008E6FE3" w:rsidRPr="00E810AA" w:rsidRDefault="008E6FE3" w:rsidP="00E810AA">
            <w:pPr>
              <w:pStyle w:val="ListParagraph"/>
              <w:spacing w:line="300" w:lineRule="atLeast"/>
              <w:ind w:left="0"/>
              <w:contextualSpacing w:val="0"/>
              <w:rPr>
                <w:rFonts w:ascii="Arial" w:hAnsi="Arial" w:cs="Arial"/>
              </w:rPr>
            </w:pPr>
            <w:r w:rsidRPr="00E810AA">
              <w:rPr>
                <w:rFonts w:ascii="Arial" w:hAnsi="Arial" w:cs="Arial"/>
              </w:rPr>
              <w:t xml:space="preserve">HMO &amp; Small Flats SPD (Adopted April 2022) </w:t>
            </w:r>
          </w:p>
        </w:tc>
      </w:tr>
      <w:tr w:rsidR="004D4D6B" w:rsidRPr="00E810AA" w14:paraId="226FEA3B" w14:textId="77777777" w:rsidTr="00F71908">
        <w:tc>
          <w:tcPr>
            <w:tcW w:w="1940" w:type="dxa"/>
          </w:tcPr>
          <w:p w14:paraId="7F834777"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Chorley </w:t>
            </w:r>
          </w:p>
        </w:tc>
        <w:tc>
          <w:tcPr>
            <w:tcW w:w="1276" w:type="dxa"/>
          </w:tcPr>
          <w:p w14:paraId="6A599F9B" w14:textId="58566BE6" w:rsidR="004D4D6B" w:rsidRPr="00E810AA" w:rsidRDefault="00260729" w:rsidP="001F7B54">
            <w:pPr>
              <w:pStyle w:val="ListParagraph"/>
              <w:spacing w:line="300" w:lineRule="atLeast"/>
              <w:ind w:left="0"/>
              <w:contextualSpacing w:val="0"/>
              <w:jc w:val="center"/>
              <w:rPr>
                <w:rFonts w:ascii="Arial" w:hAnsi="Arial" w:cs="Arial"/>
              </w:rPr>
            </w:pPr>
            <w:r>
              <w:rPr>
                <w:rFonts w:ascii="Arial" w:hAnsi="Arial" w:cs="Arial"/>
              </w:rPr>
              <w:t>Yes</w:t>
            </w:r>
          </w:p>
        </w:tc>
        <w:tc>
          <w:tcPr>
            <w:tcW w:w="4961" w:type="dxa"/>
          </w:tcPr>
          <w:p w14:paraId="0B4CF56C" w14:textId="40ACB432" w:rsidR="004D4D6B" w:rsidRPr="00E810AA" w:rsidRDefault="00260729" w:rsidP="00E810AA">
            <w:pPr>
              <w:pStyle w:val="ListParagraph"/>
              <w:spacing w:line="300" w:lineRule="atLeast"/>
              <w:ind w:left="0"/>
              <w:contextualSpacing w:val="0"/>
              <w:rPr>
                <w:rFonts w:ascii="Arial" w:hAnsi="Arial" w:cs="Arial"/>
              </w:rPr>
            </w:pPr>
            <w:r>
              <w:rPr>
                <w:rFonts w:ascii="Arial" w:hAnsi="Arial" w:cs="Arial"/>
              </w:rPr>
              <w:t>Immediate effect 23.9.2025</w:t>
            </w:r>
            <w:r w:rsidR="00EF2449">
              <w:rPr>
                <w:rFonts w:ascii="Arial" w:hAnsi="Arial" w:cs="Arial"/>
              </w:rPr>
              <w:t>, borough wide</w:t>
            </w:r>
            <w:r>
              <w:rPr>
                <w:rFonts w:ascii="Arial" w:hAnsi="Arial" w:cs="Arial"/>
              </w:rPr>
              <w:t xml:space="preserve"> – still awaiting confirmation</w:t>
            </w:r>
            <w:r w:rsidR="00D9049D">
              <w:rPr>
                <w:rFonts w:ascii="Arial" w:hAnsi="Arial" w:cs="Arial"/>
              </w:rPr>
              <w:t>.</w:t>
            </w:r>
          </w:p>
        </w:tc>
      </w:tr>
      <w:tr w:rsidR="004D4D6B" w:rsidRPr="00E810AA" w14:paraId="64B4A162" w14:textId="77777777" w:rsidTr="00F71908">
        <w:tc>
          <w:tcPr>
            <w:tcW w:w="1940" w:type="dxa"/>
          </w:tcPr>
          <w:p w14:paraId="3A79A38A"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Fylde </w:t>
            </w:r>
          </w:p>
        </w:tc>
        <w:tc>
          <w:tcPr>
            <w:tcW w:w="1276" w:type="dxa"/>
          </w:tcPr>
          <w:p w14:paraId="6783B142" w14:textId="77777777" w:rsidR="004D4D6B" w:rsidRPr="00E810AA" w:rsidRDefault="003E3A78" w:rsidP="001F7B54">
            <w:pPr>
              <w:pStyle w:val="ListParagraph"/>
              <w:spacing w:line="300" w:lineRule="atLeast"/>
              <w:ind w:left="0"/>
              <w:contextualSpacing w:val="0"/>
              <w:jc w:val="center"/>
              <w:rPr>
                <w:rFonts w:ascii="Arial" w:hAnsi="Arial" w:cs="Arial"/>
              </w:rPr>
            </w:pPr>
            <w:r w:rsidRPr="00E810AA">
              <w:rPr>
                <w:rFonts w:ascii="Arial" w:hAnsi="Arial" w:cs="Arial"/>
              </w:rPr>
              <w:t>No</w:t>
            </w:r>
          </w:p>
        </w:tc>
        <w:tc>
          <w:tcPr>
            <w:tcW w:w="4961" w:type="dxa"/>
          </w:tcPr>
          <w:p w14:paraId="42341FCC" w14:textId="77777777" w:rsidR="004D4D6B" w:rsidRPr="00E810AA" w:rsidRDefault="003E3A78" w:rsidP="00E810AA">
            <w:pPr>
              <w:pStyle w:val="ListParagraph"/>
              <w:spacing w:line="300" w:lineRule="atLeast"/>
              <w:ind w:left="0"/>
              <w:contextualSpacing w:val="0"/>
              <w:rPr>
                <w:rFonts w:ascii="Arial" w:hAnsi="Arial" w:cs="Arial"/>
              </w:rPr>
            </w:pPr>
            <w:r w:rsidRPr="00E810AA">
              <w:rPr>
                <w:rFonts w:ascii="Arial" w:hAnsi="Arial" w:cs="Arial"/>
              </w:rPr>
              <w:t>No</w:t>
            </w:r>
            <w:r w:rsidR="00F71908">
              <w:rPr>
                <w:rFonts w:ascii="Arial" w:hAnsi="Arial" w:cs="Arial"/>
              </w:rPr>
              <w:t xml:space="preserve"> </w:t>
            </w:r>
          </w:p>
        </w:tc>
      </w:tr>
      <w:tr w:rsidR="004D4D6B" w:rsidRPr="00E810AA" w14:paraId="7A62ADCB" w14:textId="77777777" w:rsidTr="00F71908">
        <w:tc>
          <w:tcPr>
            <w:tcW w:w="1940" w:type="dxa"/>
          </w:tcPr>
          <w:p w14:paraId="00A0295D"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Lancaster </w:t>
            </w:r>
          </w:p>
        </w:tc>
        <w:tc>
          <w:tcPr>
            <w:tcW w:w="1276" w:type="dxa"/>
          </w:tcPr>
          <w:p w14:paraId="1B5F7276" w14:textId="77777777" w:rsidR="004D4D6B" w:rsidRPr="00E810AA" w:rsidRDefault="003E3A78" w:rsidP="001F7B54">
            <w:pPr>
              <w:pStyle w:val="ListParagraph"/>
              <w:spacing w:line="300" w:lineRule="atLeast"/>
              <w:ind w:left="0"/>
              <w:contextualSpacing w:val="0"/>
              <w:jc w:val="center"/>
              <w:rPr>
                <w:rFonts w:ascii="Arial" w:hAnsi="Arial" w:cs="Arial"/>
              </w:rPr>
            </w:pPr>
            <w:r w:rsidRPr="00E810AA">
              <w:rPr>
                <w:rFonts w:ascii="Arial" w:hAnsi="Arial" w:cs="Arial"/>
              </w:rPr>
              <w:t>Yes</w:t>
            </w:r>
          </w:p>
        </w:tc>
        <w:tc>
          <w:tcPr>
            <w:tcW w:w="4961" w:type="dxa"/>
          </w:tcPr>
          <w:p w14:paraId="37B6C9A6" w14:textId="321F01B8" w:rsidR="004D4D6B" w:rsidRPr="00E810AA" w:rsidRDefault="00260729" w:rsidP="00E810AA">
            <w:pPr>
              <w:pStyle w:val="ListParagraph"/>
              <w:spacing w:line="300" w:lineRule="atLeast"/>
              <w:ind w:left="0"/>
              <w:contextualSpacing w:val="0"/>
              <w:rPr>
                <w:rFonts w:ascii="Arial" w:hAnsi="Arial" w:cs="Arial"/>
              </w:rPr>
            </w:pPr>
            <w:r>
              <w:rPr>
                <w:rFonts w:ascii="Arial" w:hAnsi="Arial" w:cs="Arial"/>
              </w:rPr>
              <w:t xml:space="preserve">Since 21.10.21, also </w:t>
            </w:r>
            <w:r w:rsidR="0034034E" w:rsidRPr="00E810AA">
              <w:rPr>
                <w:rFonts w:ascii="Arial" w:hAnsi="Arial" w:cs="Arial"/>
              </w:rPr>
              <w:t xml:space="preserve">Residential Conversion and Houses in Multiple Occupation SPD (consultation draft December 2019) </w:t>
            </w:r>
          </w:p>
        </w:tc>
      </w:tr>
      <w:tr w:rsidR="004D4D6B" w:rsidRPr="00E810AA" w14:paraId="74E15507" w14:textId="77777777" w:rsidTr="00F71908">
        <w:tc>
          <w:tcPr>
            <w:tcW w:w="1940" w:type="dxa"/>
          </w:tcPr>
          <w:p w14:paraId="36B24E04"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Pendle </w:t>
            </w:r>
          </w:p>
        </w:tc>
        <w:tc>
          <w:tcPr>
            <w:tcW w:w="1276" w:type="dxa"/>
          </w:tcPr>
          <w:p w14:paraId="7167C04C" w14:textId="77777777" w:rsidR="004D4D6B" w:rsidRPr="00E810AA" w:rsidRDefault="0034034E" w:rsidP="001F7B54">
            <w:pPr>
              <w:pStyle w:val="ListParagraph"/>
              <w:spacing w:line="300" w:lineRule="atLeast"/>
              <w:ind w:left="0"/>
              <w:contextualSpacing w:val="0"/>
              <w:jc w:val="center"/>
              <w:rPr>
                <w:rFonts w:ascii="Arial" w:hAnsi="Arial" w:cs="Arial"/>
              </w:rPr>
            </w:pPr>
            <w:r w:rsidRPr="00E810AA">
              <w:rPr>
                <w:rFonts w:ascii="Arial" w:hAnsi="Arial" w:cs="Arial"/>
              </w:rPr>
              <w:t>No</w:t>
            </w:r>
          </w:p>
        </w:tc>
        <w:tc>
          <w:tcPr>
            <w:tcW w:w="4961" w:type="dxa"/>
          </w:tcPr>
          <w:p w14:paraId="34492370" w14:textId="77777777" w:rsidR="004D4D6B" w:rsidRPr="00E810AA" w:rsidRDefault="0034034E" w:rsidP="00E810AA">
            <w:pPr>
              <w:pStyle w:val="ListParagraph"/>
              <w:spacing w:line="300" w:lineRule="atLeast"/>
              <w:ind w:left="0"/>
              <w:contextualSpacing w:val="0"/>
              <w:rPr>
                <w:rFonts w:ascii="Arial" w:hAnsi="Arial" w:cs="Arial"/>
              </w:rPr>
            </w:pPr>
            <w:r w:rsidRPr="00E810AA">
              <w:rPr>
                <w:rFonts w:ascii="Arial" w:hAnsi="Arial" w:cs="Arial"/>
              </w:rPr>
              <w:t xml:space="preserve">No </w:t>
            </w:r>
          </w:p>
        </w:tc>
      </w:tr>
      <w:tr w:rsidR="004D4D6B" w:rsidRPr="00E810AA" w14:paraId="228E108E" w14:textId="77777777" w:rsidTr="00F71908">
        <w:tc>
          <w:tcPr>
            <w:tcW w:w="1940" w:type="dxa"/>
          </w:tcPr>
          <w:p w14:paraId="0387E97A"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Preston </w:t>
            </w:r>
          </w:p>
        </w:tc>
        <w:tc>
          <w:tcPr>
            <w:tcW w:w="1276" w:type="dxa"/>
          </w:tcPr>
          <w:p w14:paraId="1014B195" w14:textId="77777777" w:rsidR="004D4D6B" w:rsidRPr="00E810AA" w:rsidRDefault="0034034E" w:rsidP="001F7B54">
            <w:pPr>
              <w:pStyle w:val="ListParagraph"/>
              <w:spacing w:line="300" w:lineRule="atLeast"/>
              <w:ind w:left="0"/>
              <w:contextualSpacing w:val="0"/>
              <w:jc w:val="center"/>
              <w:rPr>
                <w:rFonts w:ascii="Arial" w:hAnsi="Arial" w:cs="Arial"/>
              </w:rPr>
            </w:pPr>
            <w:r w:rsidRPr="00E810AA">
              <w:rPr>
                <w:rFonts w:ascii="Arial" w:hAnsi="Arial" w:cs="Arial"/>
              </w:rPr>
              <w:t>Yes</w:t>
            </w:r>
          </w:p>
        </w:tc>
        <w:tc>
          <w:tcPr>
            <w:tcW w:w="4961" w:type="dxa"/>
          </w:tcPr>
          <w:p w14:paraId="04ED66D1" w14:textId="77777777" w:rsidR="004D4D6B" w:rsidRPr="00E810AA" w:rsidRDefault="00AD1C1E" w:rsidP="00E810AA">
            <w:pPr>
              <w:pStyle w:val="ListParagraph"/>
              <w:spacing w:line="300" w:lineRule="atLeast"/>
              <w:ind w:left="0"/>
              <w:contextualSpacing w:val="0"/>
              <w:rPr>
                <w:rFonts w:ascii="Arial" w:hAnsi="Arial" w:cs="Arial"/>
              </w:rPr>
            </w:pPr>
            <w:r w:rsidRPr="00E810AA">
              <w:rPr>
                <w:rFonts w:ascii="Arial" w:hAnsi="Arial" w:cs="Arial"/>
              </w:rPr>
              <w:t xml:space="preserve">Policy HS7 of </w:t>
            </w:r>
            <w:r w:rsidR="00635F91" w:rsidRPr="00E810AA">
              <w:rPr>
                <w:rFonts w:ascii="Arial" w:hAnsi="Arial" w:cs="Arial"/>
              </w:rPr>
              <w:t xml:space="preserve">Preston Local Plan </w:t>
            </w:r>
          </w:p>
        </w:tc>
      </w:tr>
      <w:tr w:rsidR="004D4D6B" w:rsidRPr="00E810AA" w14:paraId="4CA09EEA" w14:textId="77777777" w:rsidTr="00F71908">
        <w:tc>
          <w:tcPr>
            <w:tcW w:w="1940" w:type="dxa"/>
          </w:tcPr>
          <w:p w14:paraId="3F1DED01"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Ribble Valley </w:t>
            </w:r>
          </w:p>
        </w:tc>
        <w:tc>
          <w:tcPr>
            <w:tcW w:w="1276" w:type="dxa"/>
          </w:tcPr>
          <w:p w14:paraId="7A1A1BE6" w14:textId="77777777" w:rsidR="004D4D6B" w:rsidRPr="00E810AA" w:rsidRDefault="00635F91" w:rsidP="001F7B54">
            <w:pPr>
              <w:pStyle w:val="ListParagraph"/>
              <w:spacing w:line="300" w:lineRule="atLeast"/>
              <w:ind w:left="0"/>
              <w:contextualSpacing w:val="0"/>
              <w:jc w:val="center"/>
              <w:rPr>
                <w:rFonts w:ascii="Arial" w:hAnsi="Arial" w:cs="Arial"/>
              </w:rPr>
            </w:pPr>
            <w:r w:rsidRPr="00E810AA">
              <w:rPr>
                <w:rFonts w:ascii="Arial" w:hAnsi="Arial" w:cs="Arial"/>
              </w:rPr>
              <w:t>No</w:t>
            </w:r>
          </w:p>
        </w:tc>
        <w:tc>
          <w:tcPr>
            <w:tcW w:w="4961" w:type="dxa"/>
          </w:tcPr>
          <w:p w14:paraId="56AD2CE8" w14:textId="77777777" w:rsidR="004D4D6B" w:rsidRPr="00E810AA" w:rsidRDefault="00635F91" w:rsidP="00E810AA">
            <w:pPr>
              <w:pStyle w:val="ListParagraph"/>
              <w:spacing w:line="300" w:lineRule="atLeast"/>
              <w:ind w:left="0"/>
              <w:contextualSpacing w:val="0"/>
              <w:rPr>
                <w:rFonts w:ascii="Arial" w:hAnsi="Arial" w:cs="Arial"/>
              </w:rPr>
            </w:pPr>
            <w:r w:rsidRPr="00E810AA">
              <w:rPr>
                <w:rFonts w:ascii="Arial" w:hAnsi="Arial" w:cs="Arial"/>
              </w:rPr>
              <w:t xml:space="preserve">No </w:t>
            </w:r>
          </w:p>
        </w:tc>
      </w:tr>
      <w:tr w:rsidR="004D4D6B" w:rsidRPr="00E810AA" w14:paraId="310A72A0" w14:textId="77777777" w:rsidTr="00F71908">
        <w:tc>
          <w:tcPr>
            <w:tcW w:w="1940" w:type="dxa"/>
          </w:tcPr>
          <w:p w14:paraId="48FD60A8"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lastRenderedPageBreak/>
              <w:t xml:space="preserve">Rossendale </w:t>
            </w:r>
          </w:p>
        </w:tc>
        <w:tc>
          <w:tcPr>
            <w:tcW w:w="1276" w:type="dxa"/>
          </w:tcPr>
          <w:p w14:paraId="3B71EB37" w14:textId="5F037611" w:rsidR="004D4D6B" w:rsidRPr="00E810AA" w:rsidRDefault="00EF2449" w:rsidP="001F7B54">
            <w:pPr>
              <w:pStyle w:val="ListParagraph"/>
              <w:spacing w:line="300" w:lineRule="atLeast"/>
              <w:ind w:left="0"/>
              <w:contextualSpacing w:val="0"/>
              <w:jc w:val="center"/>
              <w:rPr>
                <w:rFonts w:ascii="Arial" w:hAnsi="Arial" w:cs="Arial"/>
              </w:rPr>
            </w:pPr>
            <w:r>
              <w:rPr>
                <w:rFonts w:ascii="Arial" w:hAnsi="Arial" w:cs="Arial"/>
              </w:rPr>
              <w:t>Yes</w:t>
            </w:r>
          </w:p>
        </w:tc>
        <w:tc>
          <w:tcPr>
            <w:tcW w:w="4961" w:type="dxa"/>
          </w:tcPr>
          <w:p w14:paraId="1C59832F" w14:textId="771F27A4" w:rsidR="004D4D6B" w:rsidRPr="00E810AA" w:rsidRDefault="00EF2449" w:rsidP="00E810AA">
            <w:pPr>
              <w:pStyle w:val="ListParagraph"/>
              <w:spacing w:line="300" w:lineRule="atLeast"/>
              <w:ind w:left="0"/>
              <w:contextualSpacing w:val="0"/>
              <w:rPr>
                <w:rFonts w:ascii="Arial" w:hAnsi="Arial" w:cs="Arial"/>
              </w:rPr>
            </w:pPr>
            <w:r>
              <w:rPr>
                <w:rFonts w:ascii="Arial" w:hAnsi="Arial" w:cs="Arial"/>
              </w:rPr>
              <w:t>Immediate effect 19.9.25</w:t>
            </w:r>
            <w:r w:rsidR="00D9049D">
              <w:rPr>
                <w:rFonts w:ascii="Arial" w:hAnsi="Arial" w:cs="Arial"/>
              </w:rPr>
              <w:t>,</w:t>
            </w:r>
            <w:r>
              <w:rPr>
                <w:rFonts w:ascii="Arial" w:hAnsi="Arial" w:cs="Arial"/>
              </w:rPr>
              <w:t xml:space="preserve"> boroughwide</w:t>
            </w:r>
            <w:r w:rsidR="00D9049D">
              <w:rPr>
                <w:rFonts w:ascii="Arial" w:hAnsi="Arial" w:cs="Arial"/>
              </w:rPr>
              <w:t xml:space="preserve"> </w:t>
            </w:r>
            <w:r w:rsidR="00D9049D">
              <w:rPr>
                <w:rFonts w:ascii="Arial" w:hAnsi="Arial" w:cs="Arial"/>
              </w:rPr>
              <w:t>– still awaiting confirmation</w:t>
            </w:r>
          </w:p>
        </w:tc>
      </w:tr>
      <w:tr w:rsidR="004D4D6B" w:rsidRPr="00E810AA" w14:paraId="0E192CDB" w14:textId="77777777" w:rsidTr="00F71908">
        <w:tc>
          <w:tcPr>
            <w:tcW w:w="1940" w:type="dxa"/>
          </w:tcPr>
          <w:p w14:paraId="78DC21B7"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South Ribble </w:t>
            </w:r>
          </w:p>
        </w:tc>
        <w:tc>
          <w:tcPr>
            <w:tcW w:w="1276" w:type="dxa"/>
          </w:tcPr>
          <w:p w14:paraId="30064F29" w14:textId="17DBF353" w:rsidR="004D4D6B" w:rsidRPr="00E810AA" w:rsidRDefault="00EF2449" w:rsidP="001F7B54">
            <w:pPr>
              <w:pStyle w:val="ListParagraph"/>
              <w:spacing w:line="300" w:lineRule="atLeast"/>
              <w:ind w:left="0"/>
              <w:contextualSpacing w:val="0"/>
              <w:jc w:val="center"/>
              <w:rPr>
                <w:rFonts w:ascii="Arial" w:hAnsi="Arial" w:cs="Arial"/>
              </w:rPr>
            </w:pPr>
            <w:r>
              <w:rPr>
                <w:rFonts w:ascii="Arial" w:hAnsi="Arial" w:cs="Arial"/>
              </w:rPr>
              <w:t>Yes</w:t>
            </w:r>
          </w:p>
        </w:tc>
        <w:tc>
          <w:tcPr>
            <w:tcW w:w="4961" w:type="dxa"/>
          </w:tcPr>
          <w:p w14:paraId="7D179E19" w14:textId="0140A6F5" w:rsidR="004D4D6B" w:rsidRPr="00E810AA" w:rsidRDefault="00EF2449" w:rsidP="00E810AA">
            <w:pPr>
              <w:pStyle w:val="ListParagraph"/>
              <w:spacing w:line="300" w:lineRule="atLeast"/>
              <w:ind w:left="0"/>
              <w:contextualSpacing w:val="0"/>
              <w:rPr>
                <w:rFonts w:ascii="Arial" w:hAnsi="Arial" w:cs="Arial"/>
              </w:rPr>
            </w:pPr>
            <w:r>
              <w:rPr>
                <w:rFonts w:ascii="Arial" w:hAnsi="Arial" w:cs="Arial"/>
              </w:rPr>
              <w:t>Immediate effect 28.1.26</w:t>
            </w:r>
            <w:r w:rsidR="00D9049D">
              <w:rPr>
                <w:rFonts w:ascii="Arial" w:hAnsi="Arial" w:cs="Arial"/>
              </w:rPr>
              <w:t>,</w:t>
            </w:r>
            <w:r>
              <w:rPr>
                <w:rFonts w:ascii="Arial" w:hAnsi="Arial" w:cs="Arial"/>
              </w:rPr>
              <w:t xml:space="preserve"> </w:t>
            </w:r>
            <w:r w:rsidR="005F5D83">
              <w:rPr>
                <w:rFonts w:ascii="Arial" w:hAnsi="Arial" w:cs="Arial"/>
              </w:rPr>
              <w:t>boroughwide</w:t>
            </w:r>
          </w:p>
        </w:tc>
      </w:tr>
      <w:tr w:rsidR="004D4D6B" w:rsidRPr="00E810AA" w14:paraId="03F6D64F" w14:textId="77777777" w:rsidTr="00F71908">
        <w:tc>
          <w:tcPr>
            <w:tcW w:w="1940" w:type="dxa"/>
          </w:tcPr>
          <w:p w14:paraId="76DA8620"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West Lancashire </w:t>
            </w:r>
          </w:p>
        </w:tc>
        <w:tc>
          <w:tcPr>
            <w:tcW w:w="1276" w:type="dxa"/>
          </w:tcPr>
          <w:p w14:paraId="38587F26" w14:textId="77777777" w:rsidR="004D4D6B" w:rsidRPr="00E810AA" w:rsidRDefault="008E573B" w:rsidP="001F7B54">
            <w:pPr>
              <w:pStyle w:val="ListParagraph"/>
              <w:spacing w:line="300" w:lineRule="atLeast"/>
              <w:ind w:left="0"/>
              <w:contextualSpacing w:val="0"/>
              <w:jc w:val="center"/>
              <w:rPr>
                <w:rFonts w:ascii="Arial" w:hAnsi="Arial" w:cs="Arial"/>
              </w:rPr>
            </w:pPr>
            <w:r w:rsidRPr="00E810AA">
              <w:rPr>
                <w:rFonts w:ascii="Arial" w:hAnsi="Arial" w:cs="Arial"/>
              </w:rPr>
              <w:t>Yes</w:t>
            </w:r>
          </w:p>
        </w:tc>
        <w:tc>
          <w:tcPr>
            <w:tcW w:w="4961" w:type="dxa"/>
          </w:tcPr>
          <w:p w14:paraId="3612A2A8" w14:textId="77777777" w:rsidR="004D4D6B" w:rsidRPr="00E810AA" w:rsidRDefault="008E573B" w:rsidP="00E810AA">
            <w:pPr>
              <w:pStyle w:val="ListParagraph"/>
              <w:spacing w:line="300" w:lineRule="atLeast"/>
              <w:ind w:left="0"/>
              <w:contextualSpacing w:val="0"/>
              <w:rPr>
                <w:rFonts w:ascii="Arial" w:hAnsi="Arial" w:cs="Arial"/>
              </w:rPr>
            </w:pPr>
            <w:r w:rsidRPr="00E810AA">
              <w:rPr>
                <w:rFonts w:ascii="Arial" w:hAnsi="Arial" w:cs="Arial"/>
              </w:rPr>
              <w:t xml:space="preserve">Policy RS3 </w:t>
            </w:r>
          </w:p>
        </w:tc>
      </w:tr>
      <w:tr w:rsidR="004D4D6B" w:rsidRPr="00E810AA" w14:paraId="7E24FEB9" w14:textId="77777777" w:rsidTr="00F71908">
        <w:tc>
          <w:tcPr>
            <w:tcW w:w="1940" w:type="dxa"/>
          </w:tcPr>
          <w:p w14:paraId="2F884EEB"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Wyre </w:t>
            </w:r>
          </w:p>
        </w:tc>
        <w:tc>
          <w:tcPr>
            <w:tcW w:w="1276" w:type="dxa"/>
          </w:tcPr>
          <w:p w14:paraId="1B486C62" w14:textId="1006F931" w:rsidR="004D4D6B" w:rsidRPr="00E810AA" w:rsidRDefault="00EF2449" w:rsidP="001F7B54">
            <w:pPr>
              <w:pStyle w:val="ListParagraph"/>
              <w:spacing w:line="300" w:lineRule="atLeast"/>
              <w:ind w:left="0"/>
              <w:contextualSpacing w:val="0"/>
              <w:jc w:val="center"/>
              <w:rPr>
                <w:rFonts w:ascii="Arial" w:hAnsi="Arial" w:cs="Arial"/>
              </w:rPr>
            </w:pPr>
            <w:r>
              <w:rPr>
                <w:rFonts w:ascii="Arial" w:hAnsi="Arial" w:cs="Arial"/>
              </w:rPr>
              <w:t>Yes</w:t>
            </w:r>
          </w:p>
        </w:tc>
        <w:tc>
          <w:tcPr>
            <w:tcW w:w="4961" w:type="dxa"/>
          </w:tcPr>
          <w:p w14:paraId="4472AB5E" w14:textId="18764B35" w:rsidR="004D4D6B" w:rsidRPr="00E810AA" w:rsidRDefault="00D9049D" w:rsidP="00E810AA">
            <w:pPr>
              <w:pStyle w:val="ListParagraph"/>
              <w:spacing w:line="300" w:lineRule="atLeast"/>
              <w:ind w:left="0"/>
              <w:contextualSpacing w:val="0"/>
              <w:rPr>
                <w:rFonts w:ascii="Arial" w:hAnsi="Arial" w:cs="Arial"/>
              </w:rPr>
            </w:pPr>
            <w:r>
              <w:rPr>
                <w:rFonts w:ascii="Arial" w:hAnsi="Arial" w:cs="Arial"/>
              </w:rPr>
              <w:t xml:space="preserve">Immediate effect </w:t>
            </w:r>
            <w:r>
              <w:rPr>
                <w:rFonts w:ascii="Arial" w:hAnsi="Arial" w:cs="Arial"/>
              </w:rPr>
              <w:t xml:space="preserve">25.02.2026, </w:t>
            </w:r>
            <w:r>
              <w:rPr>
                <w:rFonts w:ascii="Arial" w:hAnsi="Arial" w:cs="Arial"/>
              </w:rPr>
              <w:t>limited areas</w:t>
            </w:r>
            <w:r w:rsidRPr="00E810AA">
              <w:rPr>
                <w:rFonts w:ascii="Arial" w:hAnsi="Arial" w:cs="Arial"/>
              </w:rPr>
              <w:t xml:space="preserve"> </w:t>
            </w:r>
            <w:r w:rsidR="0084770A" w:rsidRPr="00E810AA">
              <w:rPr>
                <w:rFonts w:ascii="Arial" w:hAnsi="Arial" w:cs="Arial"/>
              </w:rPr>
              <w:t xml:space="preserve">Policy HP10 of Wyre Local Plan </w:t>
            </w:r>
            <w:r w:rsidR="00070BC2" w:rsidRPr="00E810AA">
              <w:rPr>
                <w:rFonts w:ascii="Arial" w:hAnsi="Arial" w:cs="Arial"/>
              </w:rPr>
              <w:t>2011-2031</w:t>
            </w:r>
          </w:p>
        </w:tc>
      </w:tr>
      <w:tr w:rsidR="004D4D6B" w:rsidRPr="00E810AA" w14:paraId="6BB010EF" w14:textId="77777777" w:rsidTr="00F71908">
        <w:tc>
          <w:tcPr>
            <w:tcW w:w="1940" w:type="dxa"/>
          </w:tcPr>
          <w:p w14:paraId="6C4D0DA5"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Blackburn with Darwen </w:t>
            </w:r>
          </w:p>
        </w:tc>
        <w:tc>
          <w:tcPr>
            <w:tcW w:w="1276" w:type="dxa"/>
          </w:tcPr>
          <w:p w14:paraId="63115851" w14:textId="77777777" w:rsidR="004D4D6B" w:rsidRPr="00E810AA" w:rsidRDefault="00070BC2" w:rsidP="001F7B54">
            <w:pPr>
              <w:pStyle w:val="ListParagraph"/>
              <w:spacing w:line="300" w:lineRule="atLeast"/>
              <w:ind w:left="0"/>
              <w:contextualSpacing w:val="0"/>
              <w:jc w:val="center"/>
              <w:rPr>
                <w:rFonts w:ascii="Arial" w:hAnsi="Arial" w:cs="Arial"/>
              </w:rPr>
            </w:pPr>
            <w:r w:rsidRPr="00E810AA">
              <w:rPr>
                <w:rFonts w:ascii="Arial" w:hAnsi="Arial" w:cs="Arial"/>
              </w:rPr>
              <w:t>Yes</w:t>
            </w:r>
          </w:p>
        </w:tc>
        <w:tc>
          <w:tcPr>
            <w:tcW w:w="4961" w:type="dxa"/>
          </w:tcPr>
          <w:p w14:paraId="2B76127D" w14:textId="1A3F2B32" w:rsidR="004D4D6B" w:rsidRPr="00E810AA" w:rsidRDefault="001E3658" w:rsidP="00E810AA">
            <w:pPr>
              <w:pStyle w:val="ListParagraph"/>
              <w:spacing w:line="300" w:lineRule="atLeast"/>
              <w:ind w:left="0"/>
              <w:contextualSpacing w:val="0"/>
              <w:rPr>
                <w:rFonts w:ascii="Arial" w:hAnsi="Arial" w:cs="Arial"/>
              </w:rPr>
            </w:pPr>
            <w:r>
              <w:rPr>
                <w:rFonts w:ascii="Arial" w:hAnsi="Arial" w:cs="Arial"/>
              </w:rPr>
              <w:t xml:space="preserve">August 23 for all urban areas of the Borough. </w:t>
            </w:r>
            <w:r w:rsidR="008E6FE3" w:rsidRPr="00E810AA">
              <w:rPr>
                <w:rFonts w:ascii="Arial" w:hAnsi="Arial" w:cs="Arial"/>
              </w:rPr>
              <w:t>HMO and Residential Conversions and Sub-Divisions SPD (adopted April 2012)</w:t>
            </w:r>
          </w:p>
        </w:tc>
      </w:tr>
      <w:tr w:rsidR="004D4D6B" w:rsidRPr="00E810AA" w14:paraId="6BF64C5C" w14:textId="77777777" w:rsidTr="00F71908">
        <w:tc>
          <w:tcPr>
            <w:tcW w:w="1940" w:type="dxa"/>
          </w:tcPr>
          <w:p w14:paraId="5C86A49F" w14:textId="77777777" w:rsidR="004D4D6B" w:rsidRPr="00E810AA" w:rsidRDefault="004D4D6B" w:rsidP="00E810AA">
            <w:pPr>
              <w:pStyle w:val="ListParagraph"/>
              <w:spacing w:line="300" w:lineRule="atLeast"/>
              <w:ind w:left="0"/>
              <w:contextualSpacing w:val="0"/>
              <w:rPr>
                <w:rFonts w:ascii="Arial" w:hAnsi="Arial" w:cs="Arial"/>
              </w:rPr>
            </w:pPr>
            <w:r w:rsidRPr="00E810AA">
              <w:rPr>
                <w:rFonts w:ascii="Arial" w:hAnsi="Arial" w:cs="Arial"/>
              </w:rPr>
              <w:t xml:space="preserve">Blackpool </w:t>
            </w:r>
          </w:p>
        </w:tc>
        <w:tc>
          <w:tcPr>
            <w:tcW w:w="1276" w:type="dxa"/>
          </w:tcPr>
          <w:p w14:paraId="34665515" w14:textId="77777777" w:rsidR="004D4D6B" w:rsidRPr="00E810AA" w:rsidRDefault="008E6FE3" w:rsidP="001F7B54">
            <w:pPr>
              <w:pStyle w:val="ListParagraph"/>
              <w:spacing w:line="300" w:lineRule="atLeast"/>
              <w:ind w:left="0"/>
              <w:contextualSpacing w:val="0"/>
              <w:jc w:val="center"/>
              <w:rPr>
                <w:rFonts w:ascii="Arial" w:hAnsi="Arial" w:cs="Arial"/>
              </w:rPr>
            </w:pPr>
            <w:r w:rsidRPr="00E810AA">
              <w:rPr>
                <w:rFonts w:ascii="Arial" w:hAnsi="Arial" w:cs="Arial"/>
              </w:rPr>
              <w:t>Yes</w:t>
            </w:r>
          </w:p>
        </w:tc>
        <w:tc>
          <w:tcPr>
            <w:tcW w:w="4961" w:type="dxa"/>
          </w:tcPr>
          <w:p w14:paraId="54DAE0FE" w14:textId="7B241425" w:rsidR="004D4D6B" w:rsidRPr="00E810AA" w:rsidRDefault="001E3658" w:rsidP="00E810AA">
            <w:pPr>
              <w:pStyle w:val="ListParagraph"/>
              <w:spacing w:line="300" w:lineRule="atLeast"/>
              <w:ind w:left="0"/>
              <w:contextualSpacing w:val="0"/>
              <w:rPr>
                <w:rFonts w:ascii="Arial" w:hAnsi="Arial" w:cs="Arial"/>
              </w:rPr>
            </w:pPr>
            <w:r>
              <w:rPr>
                <w:rFonts w:ascii="Arial" w:hAnsi="Arial" w:cs="Arial"/>
              </w:rPr>
              <w:t xml:space="preserve">23.2.22 borough wide Article 4.  </w:t>
            </w:r>
            <w:r w:rsidR="008E6FE3" w:rsidRPr="00E810AA">
              <w:rPr>
                <w:rFonts w:ascii="Arial" w:hAnsi="Arial" w:cs="Arial"/>
              </w:rPr>
              <w:t>Policy DM5 of Blackpool Local Plan Part 2: Site Allocations and Development Management Policies (adopted February 2023)</w:t>
            </w:r>
          </w:p>
        </w:tc>
      </w:tr>
    </w:tbl>
    <w:p w14:paraId="62DC4853" w14:textId="77777777" w:rsidR="00624C24" w:rsidRPr="00E810AA" w:rsidRDefault="00624C24" w:rsidP="00E810AA">
      <w:pPr>
        <w:spacing w:after="0" w:line="300" w:lineRule="atLeast"/>
        <w:rPr>
          <w:rFonts w:ascii="Arial" w:hAnsi="Arial" w:cs="Arial"/>
        </w:rPr>
      </w:pPr>
    </w:p>
    <w:p w14:paraId="37CF8F5D" w14:textId="65D00A6B" w:rsidR="00085A56" w:rsidRDefault="001E3658" w:rsidP="00E810AA">
      <w:pPr>
        <w:pStyle w:val="ListParagraph"/>
        <w:numPr>
          <w:ilvl w:val="1"/>
          <w:numId w:val="19"/>
        </w:numPr>
        <w:spacing w:after="0" w:line="300" w:lineRule="atLeast"/>
        <w:ind w:hanging="720"/>
        <w:rPr>
          <w:rFonts w:ascii="Arial" w:hAnsi="Arial" w:cs="Arial"/>
        </w:rPr>
      </w:pPr>
      <w:r>
        <w:rPr>
          <w:rFonts w:ascii="Arial" w:hAnsi="Arial" w:cs="Arial"/>
        </w:rPr>
        <w:t xml:space="preserve">There are now 10 local authorities in Lancashire with Article 4 Directions which restrict permitted development rights for small HMOs. Some cover the whole area of the local authority, and some are more limited. The Article 4 Directions were made because they all noted an increase in the numbers of this type of development </w:t>
      </w:r>
      <w:r w:rsidR="007A76A4" w:rsidRPr="00E810AA">
        <w:rPr>
          <w:rFonts w:ascii="Arial" w:hAnsi="Arial" w:cs="Arial"/>
        </w:rPr>
        <w:t>since the introduction of the 2010 GPDO, and the associated social and economic issues. A compar</w:t>
      </w:r>
      <w:r w:rsidR="00D30371" w:rsidRPr="00E810AA">
        <w:rPr>
          <w:rFonts w:ascii="Arial" w:hAnsi="Arial" w:cs="Arial"/>
        </w:rPr>
        <w:t xml:space="preserve">ative </w:t>
      </w:r>
      <w:r w:rsidR="00EE61F0" w:rsidRPr="00E810AA">
        <w:rPr>
          <w:rFonts w:ascii="Arial" w:hAnsi="Arial" w:cs="Arial"/>
        </w:rPr>
        <w:t>analysis</w:t>
      </w:r>
      <w:r w:rsidR="00D30371" w:rsidRPr="00E810AA">
        <w:rPr>
          <w:rFonts w:ascii="Arial" w:hAnsi="Arial" w:cs="Arial"/>
        </w:rPr>
        <w:t xml:space="preserve"> of the evidence based between Hyndburn and those neighbouring authorities will be undertaken in the following section of this documents. </w:t>
      </w:r>
      <w:r w:rsidR="00A47F6E">
        <w:rPr>
          <w:rFonts w:ascii="Arial" w:hAnsi="Arial" w:cs="Arial"/>
        </w:rPr>
        <w:t xml:space="preserve"> </w:t>
      </w:r>
    </w:p>
    <w:p w14:paraId="30BBBC40" w14:textId="77777777" w:rsidR="001F7B54" w:rsidRPr="00E810AA" w:rsidRDefault="001F7B54" w:rsidP="001F7B54">
      <w:pPr>
        <w:pStyle w:val="ListParagraph"/>
        <w:spacing w:after="0" w:line="300" w:lineRule="atLeast"/>
        <w:ind w:left="360"/>
        <w:rPr>
          <w:rFonts w:ascii="Arial" w:hAnsi="Arial" w:cs="Arial"/>
        </w:rPr>
      </w:pPr>
    </w:p>
    <w:p w14:paraId="2D31B872" w14:textId="77777777" w:rsidR="008E6FE3" w:rsidRPr="00E810AA" w:rsidRDefault="008E6FE3" w:rsidP="00E810AA">
      <w:pPr>
        <w:spacing w:after="0" w:line="300" w:lineRule="atLeast"/>
        <w:ind w:left="709" w:hanging="709"/>
        <w:rPr>
          <w:rFonts w:ascii="Arial" w:hAnsi="Arial" w:cs="Arial"/>
        </w:rPr>
      </w:pPr>
      <w:r w:rsidRPr="00E810AA">
        <w:rPr>
          <w:rFonts w:ascii="Arial" w:hAnsi="Arial" w:cs="Arial"/>
        </w:rPr>
        <w:br w:type="page"/>
      </w:r>
    </w:p>
    <w:p w14:paraId="677DB50B" w14:textId="77777777" w:rsidR="007C1655" w:rsidRPr="00841801" w:rsidRDefault="00085A56" w:rsidP="00E810AA">
      <w:pPr>
        <w:pStyle w:val="Heading1"/>
        <w:spacing w:before="0" w:line="300" w:lineRule="atLeast"/>
        <w:rPr>
          <w:rFonts w:ascii="Arial" w:hAnsi="Arial" w:cs="Arial"/>
          <w:sz w:val="24"/>
          <w:szCs w:val="24"/>
        </w:rPr>
      </w:pPr>
      <w:bookmarkStart w:id="3" w:name="_Toc223633619"/>
      <w:r w:rsidRPr="00841801">
        <w:rPr>
          <w:rFonts w:ascii="Arial" w:hAnsi="Arial" w:cs="Arial"/>
          <w:b/>
          <w:sz w:val="24"/>
          <w:szCs w:val="24"/>
        </w:rPr>
        <w:lastRenderedPageBreak/>
        <w:t>4.</w:t>
      </w:r>
      <w:r w:rsidRPr="00841801">
        <w:rPr>
          <w:rFonts w:ascii="Arial" w:hAnsi="Arial" w:cs="Arial"/>
          <w:b/>
          <w:sz w:val="24"/>
          <w:szCs w:val="24"/>
        </w:rPr>
        <w:tab/>
        <w:t>Relevant Planning Policies and guidance</w:t>
      </w:r>
      <w:bookmarkEnd w:id="3"/>
    </w:p>
    <w:p w14:paraId="5C9759B6" w14:textId="77777777" w:rsidR="00085A56" w:rsidRPr="00E810AA" w:rsidRDefault="00085A56" w:rsidP="00E810AA">
      <w:pPr>
        <w:pStyle w:val="ListParagraph"/>
        <w:spacing w:after="0" w:line="300" w:lineRule="atLeast"/>
        <w:contextualSpacing w:val="0"/>
        <w:rPr>
          <w:rFonts w:ascii="Arial" w:hAnsi="Arial" w:cs="Arial"/>
        </w:rPr>
      </w:pPr>
    </w:p>
    <w:p w14:paraId="3559787B" w14:textId="55B854F8" w:rsidR="007C1655" w:rsidRPr="001F7B54" w:rsidRDefault="007C1655" w:rsidP="00E810AA">
      <w:pPr>
        <w:pStyle w:val="ListParagraph"/>
        <w:spacing w:after="0" w:line="300" w:lineRule="atLeast"/>
        <w:contextualSpacing w:val="0"/>
        <w:rPr>
          <w:rFonts w:ascii="Arial" w:hAnsi="Arial" w:cs="Arial"/>
          <w:b/>
        </w:rPr>
      </w:pPr>
      <w:r w:rsidRPr="001F7B54">
        <w:rPr>
          <w:rFonts w:ascii="Arial" w:hAnsi="Arial" w:cs="Arial"/>
          <w:b/>
        </w:rPr>
        <w:t>National Planning Policy Framework (NPPF</w:t>
      </w:r>
      <w:r w:rsidR="001E3658">
        <w:rPr>
          <w:rFonts w:ascii="Arial" w:hAnsi="Arial" w:cs="Arial"/>
          <w:b/>
        </w:rPr>
        <w:t xml:space="preserve"> December 2024)</w:t>
      </w:r>
    </w:p>
    <w:p w14:paraId="446FC699" w14:textId="77777777" w:rsidR="001F7B54" w:rsidRPr="00E810AA" w:rsidRDefault="001F7B54" w:rsidP="00E810AA">
      <w:pPr>
        <w:pStyle w:val="ListParagraph"/>
        <w:spacing w:after="0" w:line="300" w:lineRule="atLeast"/>
        <w:contextualSpacing w:val="0"/>
        <w:rPr>
          <w:rFonts w:ascii="Arial" w:hAnsi="Arial" w:cs="Arial"/>
          <w:u w:val="single"/>
        </w:rPr>
      </w:pPr>
    </w:p>
    <w:p w14:paraId="0F22B31A" w14:textId="77777777" w:rsidR="007C1655" w:rsidRDefault="007C1655" w:rsidP="00E810AA">
      <w:pPr>
        <w:pStyle w:val="ListParagraph"/>
        <w:numPr>
          <w:ilvl w:val="1"/>
          <w:numId w:val="13"/>
        </w:numPr>
        <w:spacing w:after="0" w:line="300" w:lineRule="atLeast"/>
        <w:ind w:left="709" w:hanging="709"/>
        <w:contextualSpacing w:val="0"/>
        <w:rPr>
          <w:rFonts w:ascii="Arial" w:hAnsi="Arial" w:cs="Arial"/>
        </w:rPr>
      </w:pPr>
      <w:r w:rsidRPr="00E810AA">
        <w:rPr>
          <w:rFonts w:ascii="Arial" w:hAnsi="Arial" w:cs="Arial"/>
        </w:rPr>
        <w:t xml:space="preserve">The NPPF sets out the Government’s planning policies for England and how these </w:t>
      </w:r>
      <w:r w:rsidR="00EE61F0" w:rsidRPr="00E810AA">
        <w:rPr>
          <w:rFonts w:ascii="Arial" w:hAnsi="Arial" w:cs="Arial"/>
        </w:rPr>
        <w:t xml:space="preserve">policies </w:t>
      </w:r>
      <w:r w:rsidRPr="00E810AA">
        <w:rPr>
          <w:rFonts w:ascii="Arial" w:hAnsi="Arial" w:cs="Arial"/>
        </w:rPr>
        <w:t>should be applied.</w:t>
      </w:r>
      <w:r w:rsidR="00A47F6E">
        <w:rPr>
          <w:rFonts w:ascii="Arial" w:hAnsi="Arial" w:cs="Arial"/>
        </w:rPr>
        <w:t xml:space="preserve"> </w:t>
      </w:r>
      <w:r w:rsidRPr="00E810AA">
        <w:rPr>
          <w:rFonts w:ascii="Arial" w:hAnsi="Arial" w:cs="Arial"/>
        </w:rPr>
        <w:t xml:space="preserve"> To achieve sustainable development, the NPPF expects the planning system to support strong, vibrant and healthy communities as a key social objective. </w:t>
      </w:r>
      <w:r w:rsidR="00B33F6F">
        <w:rPr>
          <w:rFonts w:ascii="Arial" w:hAnsi="Arial" w:cs="Arial"/>
        </w:rPr>
        <w:t xml:space="preserve"> </w:t>
      </w:r>
      <w:r w:rsidRPr="00E810AA">
        <w:rPr>
          <w:rFonts w:ascii="Arial" w:hAnsi="Arial" w:cs="Arial"/>
        </w:rPr>
        <w:t>There is no specific reference to share</w:t>
      </w:r>
      <w:r w:rsidR="00B33F6F">
        <w:rPr>
          <w:rFonts w:ascii="Arial" w:hAnsi="Arial" w:cs="Arial"/>
        </w:rPr>
        <w:t>d</w:t>
      </w:r>
      <w:r w:rsidRPr="00E810AA">
        <w:rPr>
          <w:rFonts w:ascii="Arial" w:hAnsi="Arial" w:cs="Arial"/>
        </w:rPr>
        <w:t xml:space="preserve"> housing within the NPPF but local planning authorities are required to make provision for the size, type and tenure of housing needed for di</w:t>
      </w:r>
      <w:r w:rsidR="00EE61F0" w:rsidRPr="00E810AA">
        <w:rPr>
          <w:rFonts w:ascii="Arial" w:hAnsi="Arial" w:cs="Arial"/>
        </w:rPr>
        <w:t>fferent groups in the community</w:t>
      </w:r>
      <w:r w:rsidRPr="00E810AA">
        <w:rPr>
          <w:rFonts w:ascii="Arial" w:hAnsi="Arial" w:cs="Arial"/>
        </w:rPr>
        <w:t xml:space="preserve">, including for those require affordable housing, students, families, and people who rent their homes, etc. </w:t>
      </w:r>
    </w:p>
    <w:p w14:paraId="413DA5EA" w14:textId="77777777" w:rsidR="001F7B54" w:rsidRPr="00E810AA" w:rsidRDefault="001F7B54" w:rsidP="001F7B54">
      <w:pPr>
        <w:pStyle w:val="ListParagraph"/>
        <w:spacing w:after="0" w:line="300" w:lineRule="atLeast"/>
        <w:ind w:left="709"/>
        <w:contextualSpacing w:val="0"/>
        <w:rPr>
          <w:rFonts w:ascii="Arial" w:hAnsi="Arial" w:cs="Arial"/>
        </w:rPr>
      </w:pPr>
    </w:p>
    <w:p w14:paraId="7512E80F" w14:textId="77777777" w:rsidR="007C1655" w:rsidRDefault="007C1655" w:rsidP="00E810AA">
      <w:pPr>
        <w:pStyle w:val="ListParagraph"/>
        <w:numPr>
          <w:ilvl w:val="1"/>
          <w:numId w:val="13"/>
        </w:numPr>
        <w:spacing w:after="0" w:line="300" w:lineRule="atLeast"/>
        <w:ind w:left="709" w:hanging="720"/>
        <w:contextualSpacing w:val="0"/>
        <w:rPr>
          <w:rFonts w:ascii="Arial" w:hAnsi="Arial" w:cs="Arial"/>
        </w:rPr>
      </w:pPr>
      <w:r w:rsidRPr="00E810AA">
        <w:rPr>
          <w:rFonts w:ascii="Arial" w:hAnsi="Arial" w:cs="Arial"/>
        </w:rPr>
        <w:t xml:space="preserve">Chapter 5 of the NPPF supports local planning authorities to ensure that the delivery of new housing seeks to meet locally identified need and that the needs of groups with specific housing requirements are addressed. </w:t>
      </w:r>
      <w:r w:rsidR="00B33F6F">
        <w:rPr>
          <w:rFonts w:ascii="Arial" w:hAnsi="Arial" w:cs="Arial"/>
        </w:rPr>
        <w:t xml:space="preserve"> </w:t>
      </w:r>
      <w:r w:rsidRPr="00E810AA">
        <w:rPr>
          <w:rFonts w:ascii="Arial" w:hAnsi="Arial" w:cs="Arial"/>
        </w:rPr>
        <w:t>Chapter 11 of the NPPF promotes making ‘</w:t>
      </w:r>
      <w:r w:rsidRPr="001F7B54">
        <w:rPr>
          <w:rFonts w:ascii="Arial" w:hAnsi="Arial" w:cs="Arial"/>
          <w:i/>
        </w:rPr>
        <w:t>effective use of land in meeting the need for homes and other uses, while safeguarding and improving the environment and ensuring safe and healthy living conditions</w:t>
      </w:r>
      <w:r w:rsidRPr="00E810AA">
        <w:rPr>
          <w:rFonts w:ascii="Arial" w:hAnsi="Arial" w:cs="Arial"/>
        </w:rPr>
        <w:t>.’</w:t>
      </w:r>
      <w:r w:rsidR="001F7B54">
        <w:rPr>
          <w:rFonts w:ascii="Arial" w:hAnsi="Arial" w:cs="Arial"/>
        </w:rPr>
        <w:t xml:space="preserve">  </w:t>
      </w:r>
    </w:p>
    <w:p w14:paraId="715D706C" w14:textId="77777777" w:rsidR="001F7B54" w:rsidRPr="00E810AA" w:rsidRDefault="001F7B54" w:rsidP="001F7B54">
      <w:pPr>
        <w:pStyle w:val="ListParagraph"/>
        <w:spacing w:after="0" w:line="300" w:lineRule="atLeast"/>
        <w:ind w:left="709"/>
        <w:contextualSpacing w:val="0"/>
        <w:rPr>
          <w:rFonts w:ascii="Arial" w:hAnsi="Arial" w:cs="Arial"/>
        </w:rPr>
      </w:pPr>
    </w:p>
    <w:p w14:paraId="28AECB82" w14:textId="77777777" w:rsidR="007C1655" w:rsidRDefault="007C1655" w:rsidP="00E810AA">
      <w:pPr>
        <w:pStyle w:val="ListParagraph"/>
        <w:numPr>
          <w:ilvl w:val="1"/>
          <w:numId w:val="13"/>
        </w:numPr>
        <w:spacing w:after="0" w:line="300" w:lineRule="atLeast"/>
        <w:ind w:left="709" w:hanging="720"/>
        <w:contextualSpacing w:val="0"/>
        <w:rPr>
          <w:rFonts w:ascii="Arial" w:hAnsi="Arial" w:cs="Arial"/>
        </w:rPr>
      </w:pPr>
      <w:r w:rsidRPr="00E810AA">
        <w:rPr>
          <w:rFonts w:ascii="Arial" w:hAnsi="Arial" w:cs="Arial"/>
        </w:rPr>
        <w:t xml:space="preserve">Chapter 12 of the NPPF emphasises the importance of creating high quality, beautiful and sustainable buildings and places which promote health and well-being, with a high standard of amenity for existing and future users. </w:t>
      </w:r>
    </w:p>
    <w:p w14:paraId="54C1FFD6" w14:textId="77777777" w:rsidR="001F7B54" w:rsidRPr="00E810AA" w:rsidRDefault="001F7B54" w:rsidP="001F7B54">
      <w:pPr>
        <w:pStyle w:val="ListParagraph"/>
        <w:spacing w:after="0" w:line="300" w:lineRule="atLeast"/>
        <w:ind w:left="709"/>
        <w:contextualSpacing w:val="0"/>
        <w:rPr>
          <w:rFonts w:ascii="Arial" w:hAnsi="Arial" w:cs="Arial"/>
        </w:rPr>
      </w:pPr>
    </w:p>
    <w:p w14:paraId="78E1E99D" w14:textId="77777777" w:rsidR="001E3658" w:rsidRDefault="007C1655" w:rsidP="00E810AA">
      <w:pPr>
        <w:pStyle w:val="ListParagraph"/>
        <w:numPr>
          <w:ilvl w:val="1"/>
          <w:numId w:val="13"/>
        </w:numPr>
        <w:spacing w:after="0" w:line="300" w:lineRule="atLeast"/>
        <w:ind w:left="709" w:hanging="720"/>
        <w:contextualSpacing w:val="0"/>
        <w:rPr>
          <w:rFonts w:ascii="Arial" w:hAnsi="Arial" w:cs="Arial"/>
        </w:rPr>
      </w:pPr>
      <w:r w:rsidRPr="00E810AA">
        <w:rPr>
          <w:rFonts w:ascii="Arial" w:hAnsi="Arial" w:cs="Arial"/>
        </w:rPr>
        <w:t xml:space="preserve">In light of the principles established by the NPPF, it is considered that provision of </w:t>
      </w:r>
      <w:r w:rsidR="00B33F6F">
        <w:rPr>
          <w:rFonts w:ascii="Arial" w:hAnsi="Arial" w:cs="Arial"/>
        </w:rPr>
        <w:t xml:space="preserve">planning policy </w:t>
      </w:r>
      <w:r w:rsidRPr="00E810AA">
        <w:rPr>
          <w:rFonts w:ascii="Arial" w:hAnsi="Arial" w:cs="Arial"/>
        </w:rPr>
        <w:t xml:space="preserve">guidance on HMO development will help to ensure mixed and balanced communities and a high standard of accommodation and amenity supporting the adopted local planning policies. </w:t>
      </w:r>
    </w:p>
    <w:p w14:paraId="0DCC2340" w14:textId="77777777" w:rsidR="001E3658" w:rsidRPr="001E3658" w:rsidRDefault="001E3658" w:rsidP="001E3658">
      <w:pPr>
        <w:pStyle w:val="ListParagraph"/>
        <w:rPr>
          <w:rFonts w:ascii="Arial" w:hAnsi="Arial" w:cs="Arial"/>
        </w:rPr>
      </w:pPr>
    </w:p>
    <w:p w14:paraId="318084C4" w14:textId="1E6421D7" w:rsidR="007C1655" w:rsidRDefault="001E3658" w:rsidP="00E810AA">
      <w:pPr>
        <w:pStyle w:val="ListParagraph"/>
        <w:numPr>
          <w:ilvl w:val="1"/>
          <w:numId w:val="13"/>
        </w:numPr>
        <w:spacing w:after="0" w:line="300" w:lineRule="atLeast"/>
        <w:ind w:left="709" w:hanging="720"/>
        <w:contextualSpacing w:val="0"/>
        <w:rPr>
          <w:rFonts w:ascii="Arial" w:hAnsi="Arial" w:cs="Arial"/>
        </w:rPr>
      </w:pPr>
      <w:r>
        <w:rPr>
          <w:rFonts w:ascii="Arial" w:hAnsi="Arial" w:cs="Arial"/>
        </w:rPr>
        <w:t>The Government introduced an update to the NPPF in December 2025, this update has radically altered the structure of the framework and introduced national development management policies.  The draft framework has not however, altered the direction as set out above</w:t>
      </w:r>
      <w:r w:rsidR="00B33F6F">
        <w:rPr>
          <w:rFonts w:ascii="Arial" w:hAnsi="Arial" w:cs="Arial"/>
        </w:rPr>
        <w:t xml:space="preserve"> </w:t>
      </w:r>
      <w:r>
        <w:rPr>
          <w:rFonts w:ascii="Arial" w:hAnsi="Arial" w:cs="Arial"/>
        </w:rPr>
        <w:t xml:space="preserve">and it is considered that the work on extending the Article 4 Direction for smaller HMOs would still be in conformity with national policy. </w:t>
      </w:r>
      <w:r w:rsidR="00311BE0">
        <w:rPr>
          <w:rFonts w:ascii="Arial" w:hAnsi="Arial" w:cs="Arial"/>
        </w:rPr>
        <w:t xml:space="preserve"> The Government is due to publish the final version of the NPPF in the summer of 2026.</w:t>
      </w:r>
    </w:p>
    <w:p w14:paraId="2A722CBE" w14:textId="77777777" w:rsidR="001F7B54" w:rsidRPr="00E810AA" w:rsidRDefault="001F7B54" w:rsidP="001F7B54">
      <w:pPr>
        <w:pStyle w:val="ListParagraph"/>
        <w:spacing w:after="0" w:line="300" w:lineRule="atLeast"/>
        <w:ind w:left="709"/>
        <w:contextualSpacing w:val="0"/>
        <w:rPr>
          <w:rFonts w:ascii="Arial" w:hAnsi="Arial" w:cs="Arial"/>
        </w:rPr>
      </w:pPr>
    </w:p>
    <w:p w14:paraId="792B512F" w14:textId="77777777" w:rsidR="007C1655" w:rsidRPr="001F7B54" w:rsidRDefault="007C1655" w:rsidP="00E810AA">
      <w:pPr>
        <w:pStyle w:val="ListParagraph"/>
        <w:spacing w:after="0" w:line="300" w:lineRule="atLeast"/>
        <w:contextualSpacing w:val="0"/>
        <w:rPr>
          <w:rFonts w:ascii="Arial" w:hAnsi="Arial" w:cs="Arial"/>
          <w:b/>
        </w:rPr>
      </w:pPr>
      <w:r w:rsidRPr="001F7B54">
        <w:rPr>
          <w:rFonts w:ascii="Arial" w:hAnsi="Arial" w:cs="Arial"/>
          <w:b/>
        </w:rPr>
        <w:t xml:space="preserve">Hyndburn Development Plan Policies </w:t>
      </w:r>
    </w:p>
    <w:p w14:paraId="0DD661F4" w14:textId="77777777" w:rsidR="001F7B54" w:rsidRPr="001F7B54" w:rsidRDefault="001F7B54" w:rsidP="001F7B54">
      <w:pPr>
        <w:spacing w:after="0" w:line="300" w:lineRule="atLeast"/>
        <w:rPr>
          <w:rFonts w:ascii="Arial" w:hAnsi="Arial" w:cs="Arial"/>
          <w:u w:val="single"/>
        </w:rPr>
      </w:pPr>
    </w:p>
    <w:p w14:paraId="74787413" w14:textId="77777777" w:rsidR="00B80A51" w:rsidRDefault="00B33F6F" w:rsidP="00E810AA">
      <w:pPr>
        <w:pStyle w:val="ListParagraph"/>
        <w:numPr>
          <w:ilvl w:val="1"/>
          <w:numId w:val="13"/>
        </w:numPr>
        <w:spacing w:after="0" w:line="300" w:lineRule="atLeast"/>
        <w:ind w:left="709" w:hanging="720"/>
        <w:contextualSpacing w:val="0"/>
        <w:rPr>
          <w:rFonts w:ascii="Arial" w:hAnsi="Arial" w:cs="Arial"/>
        </w:rPr>
      </w:pPr>
      <w:r>
        <w:rPr>
          <w:rFonts w:ascii="Arial" w:hAnsi="Arial" w:cs="Arial"/>
        </w:rPr>
        <w:t>The Vision of the Hyndburn Core Strategy states that “</w:t>
      </w:r>
      <w:r w:rsidRPr="00B80A51">
        <w:rPr>
          <w:rFonts w:ascii="Arial" w:hAnsi="Arial" w:cs="Arial"/>
          <w:i/>
        </w:rPr>
        <w:t>High quality family homes will be developed to provi</w:t>
      </w:r>
      <w:r w:rsidR="00B80A51" w:rsidRPr="00B80A51">
        <w:rPr>
          <w:rFonts w:ascii="Arial" w:hAnsi="Arial" w:cs="Arial"/>
          <w:i/>
        </w:rPr>
        <w:t>de a more balanced housing mark</w:t>
      </w:r>
      <w:r w:rsidRPr="00B80A51">
        <w:rPr>
          <w:rFonts w:ascii="Arial" w:hAnsi="Arial" w:cs="Arial"/>
          <w:i/>
        </w:rPr>
        <w:t xml:space="preserve">et comprising traditional and modern </w:t>
      </w:r>
      <w:r w:rsidR="00B80A51" w:rsidRPr="00B80A51">
        <w:rPr>
          <w:rFonts w:ascii="Arial" w:hAnsi="Arial" w:cs="Arial"/>
          <w:i/>
        </w:rPr>
        <w:t>house types</w:t>
      </w:r>
      <w:r w:rsidR="00B80A51">
        <w:rPr>
          <w:rFonts w:ascii="Arial" w:hAnsi="Arial" w:cs="Arial"/>
        </w:rPr>
        <w:t>”.  The Vision also states that “</w:t>
      </w:r>
      <w:r w:rsidR="00B80A51" w:rsidRPr="00B80A51">
        <w:rPr>
          <w:rFonts w:ascii="Arial" w:hAnsi="Arial" w:cs="Arial"/>
          <w:i/>
        </w:rPr>
        <w:t xml:space="preserve">The Core Strategy also seeks to raise standards </w:t>
      </w:r>
      <w:r w:rsidR="00B80A51">
        <w:rPr>
          <w:rFonts w:ascii="Arial" w:hAnsi="Arial" w:cs="Arial"/>
        </w:rPr>
        <w:t xml:space="preserve">[footnote 37 – To be no longer amongst the 100 most deprived areas in the Country] </w:t>
      </w:r>
      <w:r w:rsidR="00B80A51" w:rsidRPr="00B80A51">
        <w:rPr>
          <w:rFonts w:ascii="Arial" w:hAnsi="Arial" w:cs="Arial"/>
          <w:i/>
        </w:rPr>
        <w:t>across the Borough in order to reduce disparities both within Hyndburn and the rest of the Country, ensuring that vulnerable groups and the needs of the different communities within the Borough are taken into consideration.</w:t>
      </w:r>
      <w:r w:rsidR="00B80A51">
        <w:rPr>
          <w:rFonts w:ascii="Arial" w:hAnsi="Arial" w:cs="Arial"/>
        </w:rPr>
        <w:t xml:space="preserve">”  </w:t>
      </w:r>
    </w:p>
    <w:p w14:paraId="4C0A0413" w14:textId="77777777" w:rsidR="00B80A51" w:rsidRDefault="00B80A51" w:rsidP="00B80A51">
      <w:pPr>
        <w:pStyle w:val="ListParagraph"/>
        <w:spacing w:after="0" w:line="300" w:lineRule="atLeast"/>
        <w:ind w:left="709"/>
        <w:contextualSpacing w:val="0"/>
        <w:rPr>
          <w:rFonts w:ascii="Arial" w:hAnsi="Arial" w:cs="Arial"/>
        </w:rPr>
      </w:pPr>
    </w:p>
    <w:p w14:paraId="374B1A74" w14:textId="77777777" w:rsidR="00B33F6F" w:rsidRDefault="00B33F6F" w:rsidP="00E810AA">
      <w:pPr>
        <w:pStyle w:val="ListParagraph"/>
        <w:numPr>
          <w:ilvl w:val="1"/>
          <w:numId w:val="13"/>
        </w:numPr>
        <w:spacing w:after="0" w:line="300" w:lineRule="atLeast"/>
        <w:ind w:left="709" w:hanging="720"/>
        <w:contextualSpacing w:val="0"/>
        <w:rPr>
          <w:rFonts w:ascii="Arial" w:hAnsi="Arial" w:cs="Arial"/>
        </w:rPr>
      </w:pPr>
      <w:r>
        <w:rPr>
          <w:rFonts w:ascii="Arial" w:hAnsi="Arial" w:cs="Arial"/>
        </w:rPr>
        <w:lastRenderedPageBreak/>
        <w:t xml:space="preserve">One of the strategic objectives of the Core Strategy is to provide a greater choice and quality of housing and </w:t>
      </w:r>
      <w:r w:rsidR="00B80A51">
        <w:rPr>
          <w:rFonts w:ascii="Arial" w:hAnsi="Arial" w:cs="Arial"/>
        </w:rPr>
        <w:t xml:space="preserve">Policy H3 sets out a framework for the delivery of larger properties as a means of rebalancing the Borough’s housing market that has a very high proportion (over 50%) of small, old, terraced properties.  </w:t>
      </w:r>
    </w:p>
    <w:p w14:paraId="5742ADE7" w14:textId="77777777" w:rsidR="00876261" w:rsidRDefault="00876261" w:rsidP="00876261">
      <w:pPr>
        <w:pStyle w:val="ListParagraph"/>
        <w:spacing w:after="0" w:line="300" w:lineRule="atLeast"/>
        <w:ind w:left="709"/>
        <w:contextualSpacing w:val="0"/>
        <w:rPr>
          <w:rFonts w:ascii="Arial" w:hAnsi="Arial" w:cs="Arial"/>
        </w:rPr>
      </w:pPr>
    </w:p>
    <w:p w14:paraId="341667FC" w14:textId="67C45795" w:rsidR="00876261" w:rsidRDefault="00876261" w:rsidP="00E810AA">
      <w:pPr>
        <w:pStyle w:val="ListParagraph"/>
        <w:numPr>
          <w:ilvl w:val="1"/>
          <w:numId w:val="13"/>
        </w:numPr>
        <w:spacing w:after="0" w:line="300" w:lineRule="atLeast"/>
        <w:ind w:left="709" w:hanging="720"/>
        <w:contextualSpacing w:val="0"/>
        <w:rPr>
          <w:rFonts w:ascii="Arial" w:hAnsi="Arial" w:cs="Arial"/>
        </w:rPr>
      </w:pPr>
      <w:r w:rsidRPr="00E810AA">
        <w:rPr>
          <w:rFonts w:ascii="Arial" w:hAnsi="Arial" w:cs="Arial"/>
        </w:rPr>
        <w:t xml:space="preserve">Policy DM10 of Hyndburn </w:t>
      </w:r>
      <w:r>
        <w:rPr>
          <w:rFonts w:ascii="Arial" w:hAnsi="Arial" w:cs="Arial"/>
        </w:rPr>
        <w:t>Development Management DPD</w:t>
      </w:r>
      <w:r w:rsidRPr="00E810AA">
        <w:rPr>
          <w:rFonts w:ascii="Arial" w:hAnsi="Arial" w:cs="Arial"/>
        </w:rPr>
        <w:t xml:space="preserve"> requires that the new housing development will </w:t>
      </w:r>
      <w:r w:rsidR="005F6DCD">
        <w:rPr>
          <w:rFonts w:ascii="Arial" w:hAnsi="Arial" w:cs="Arial"/>
        </w:rPr>
        <w:t xml:space="preserve">not </w:t>
      </w:r>
      <w:r w:rsidRPr="00E810AA">
        <w:rPr>
          <w:rFonts w:ascii="Arial" w:hAnsi="Arial" w:cs="Arial"/>
        </w:rPr>
        <w:t>have an unacceptable adverse impact on neighbouring development (including existing business</w:t>
      </w:r>
      <w:r w:rsidR="005F6DCD">
        <w:rPr>
          <w:rFonts w:ascii="Arial" w:hAnsi="Arial" w:cs="Arial"/>
        </w:rPr>
        <w:t>es</w:t>
      </w:r>
      <w:r w:rsidRPr="00E810AA">
        <w:rPr>
          <w:rFonts w:ascii="Arial" w:hAnsi="Arial" w:cs="Arial"/>
        </w:rPr>
        <w:t xml:space="preserve">) by virtue of it being over-bearing, or oppressive, overlooking, or resulting in an unacceptable loss of light or amenity. Policy DM29 also requires new development to protect, and where possible improve, the amenity of surrounding existing and future residents.  </w:t>
      </w:r>
    </w:p>
    <w:p w14:paraId="5AA00C0E" w14:textId="77777777" w:rsidR="00B80A51" w:rsidRDefault="00B80A51" w:rsidP="00B80A51">
      <w:pPr>
        <w:pStyle w:val="ListParagraph"/>
        <w:spacing w:after="0" w:line="300" w:lineRule="atLeast"/>
        <w:ind w:left="709"/>
        <w:contextualSpacing w:val="0"/>
        <w:rPr>
          <w:rFonts w:ascii="Arial" w:hAnsi="Arial" w:cs="Arial"/>
        </w:rPr>
      </w:pPr>
    </w:p>
    <w:p w14:paraId="48FB694D" w14:textId="77777777" w:rsidR="007C1655" w:rsidRDefault="00B80A51" w:rsidP="00E810AA">
      <w:pPr>
        <w:pStyle w:val="ListParagraph"/>
        <w:numPr>
          <w:ilvl w:val="1"/>
          <w:numId w:val="13"/>
        </w:numPr>
        <w:spacing w:after="0" w:line="300" w:lineRule="atLeast"/>
        <w:ind w:left="709" w:hanging="720"/>
        <w:contextualSpacing w:val="0"/>
        <w:rPr>
          <w:rFonts w:ascii="Arial" w:hAnsi="Arial" w:cs="Arial"/>
        </w:rPr>
      </w:pPr>
      <w:r>
        <w:rPr>
          <w:rFonts w:ascii="Arial" w:hAnsi="Arial" w:cs="Arial"/>
        </w:rPr>
        <w:t>Whilst</w:t>
      </w:r>
      <w:r w:rsidR="00B33F6F">
        <w:rPr>
          <w:rFonts w:ascii="Arial" w:hAnsi="Arial" w:cs="Arial"/>
        </w:rPr>
        <w:t xml:space="preserve"> there are</w:t>
      </w:r>
      <w:r w:rsidR="007C1655" w:rsidRPr="00E810AA">
        <w:rPr>
          <w:rFonts w:ascii="Arial" w:hAnsi="Arial" w:cs="Arial"/>
        </w:rPr>
        <w:t xml:space="preserve"> no </w:t>
      </w:r>
      <w:r w:rsidR="00B33F6F">
        <w:rPr>
          <w:rFonts w:ascii="Arial" w:hAnsi="Arial" w:cs="Arial"/>
        </w:rPr>
        <w:t xml:space="preserve">specific </w:t>
      </w:r>
      <w:r w:rsidR="007C1655" w:rsidRPr="00E810AA">
        <w:rPr>
          <w:rFonts w:ascii="Arial" w:hAnsi="Arial" w:cs="Arial"/>
        </w:rPr>
        <w:t>policies within the Council’s current develop</w:t>
      </w:r>
      <w:r w:rsidR="00B33F6F">
        <w:rPr>
          <w:rFonts w:ascii="Arial" w:hAnsi="Arial" w:cs="Arial"/>
        </w:rPr>
        <w:t>ment plan documents that relate</w:t>
      </w:r>
      <w:r w:rsidR="007C1655" w:rsidRPr="00E810AA">
        <w:rPr>
          <w:rFonts w:ascii="Arial" w:hAnsi="Arial" w:cs="Arial"/>
        </w:rPr>
        <w:t xml:space="preserve"> to the development of HMOs within the Borough</w:t>
      </w:r>
      <w:r>
        <w:rPr>
          <w:rFonts w:ascii="Arial" w:hAnsi="Arial" w:cs="Arial"/>
        </w:rPr>
        <w:t>, there is a concern that the number of HMO’s in the Borough is not only impacting on the quality and choice of housing available but is contributing towards the continued decline of the Council in the relative rankings of local authority deprivation</w:t>
      </w:r>
      <w:r w:rsidR="00876261">
        <w:rPr>
          <w:rFonts w:ascii="Arial" w:hAnsi="Arial" w:cs="Arial"/>
        </w:rPr>
        <w:t xml:space="preserve">, contrary to the vision and objectives of the Core Strategy. </w:t>
      </w:r>
    </w:p>
    <w:p w14:paraId="4B0435AD" w14:textId="77777777" w:rsidR="001F7B54" w:rsidRPr="005F6DCD" w:rsidRDefault="001F7B54" w:rsidP="005F6DCD">
      <w:pPr>
        <w:spacing w:after="0" w:line="300" w:lineRule="atLeast"/>
        <w:rPr>
          <w:rFonts w:ascii="Arial" w:hAnsi="Arial" w:cs="Arial"/>
        </w:rPr>
      </w:pPr>
    </w:p>
    <w:p w14:paraId="7B8C1AF1" w14:textId="77777777" w:rsidR="007C1655" w:rsidRPr="001F7B54" w:rsidRDefault="007C1655" w:rsidP="00E810AA">
      <w:pPr>
        <w:pStyle w:val="ListParagraph"/>
        <w:spacing w:after="0" w:line="300" w:lineRule="atLeast"/>
        <w:contextualSpacing w:val="0"/>
        <w:rPr>
          <w:rFonts w:ascii="Arial" w:hAnsi="Arial" w:cs="Arial"/>
          <w:b/>
        </w:rPr>
      </w:pPr>
      <w:r w:rsidRPr="001F7B54">
        <w:rPr>
          <w:rFonts w:ascii="Arial" w:hAnsi="Arial" w:cs="Arial"/>
          <w:b/>
        </w:rPr>
        <w:t xml:space="preserve">Emerging Hyndburn Local Plan </w:t>
      </w:r>
    </w:p>
    <w:p w14:paraId="48F27B5F" w14:textId="77777777" w:rsidR="001F7B54" w:rsidRPr="00E810AA" w:rsidRDefault="001F7B54" w:rsidP="00E810AA">
      <w:pPr>
        <w:pStyle w:val="ListParagraph"/>
        <w:spacing w:after="0" w:line="300" w:lineRule="atLeast"/>
        <w:contextualSpacing w:val="0"/>
        <w:rPr>
          <w:rFonts w:ascii="Arial" w:hAnsi="Arial" w:cs="Arial"/>
          <w:u w:val="single"/>
        </w:rPr>
      </w:pPr>
    </w:p>
    <w:p w14:paraId="2B2C77BC" w14:textId="30EE13E3" w:rsidR="00C91E6C" w:rsidRDefault="007C1655" w:rsidP="00E810AA">
      <w:pPr>
        <w:pStyle w:val="ListParagraph"/>
        <w:numPr>
          <w:ilvl w:val="1"/>
          <w:numId w:val="13"/>
        </w:numPr>
        <w:spacing w:after="0" w:line="300" w:lineRule="atLeast"/>
        <w:ind w:left="709" w:hanging="720"/>
        <w:contextualSpacing w:val="0"/>
        <w:rPr>
          <w:rFonts w:ascii="Arial" w:hAnsi="Arial" w:cs="Arial"/>
        </w:rPr>
      </w:pPr>
      <w:r w:rsidRPr="00E810AA">
        <w:rPr>
          <w:rFonts w:ascii="Arial" w:hAnsi="Arial" w:cs="Arial"/>
        </w:rPr>
        <w:t xml:space="preserve">The Hyndburn 2040 Local Plan (Strategic Policies and Site Allocations) is </w:t>
      </w:r>
      <w:r w:rsidR="00C91E6C">
        <w:rPr>
          <w:rFonts w:ascii="Arial" w:hAnsi="Arial" w:cs="Arial"/>
        </w:rPr>
        <w:t>now at Main Modifications stage in plan-making. The policies in the plan should now be considered to carry s</w:t>
      </w:r>
      <w:r w:rsidR="00C1334C">
        <w:rPr>
          <w:rFonts w:ascii="Arial" w:hAnsi="Arial" w:cs="Arial"/>
        </w:rPr>
        <w:t>ubstantial</w:t>
      </w:r>
      <w:r w:rsidR="00C91E6C">
        <w:rPr>
          <w:rFonts w:ascii="Arial" w:hAnsi="Arial" w:cs="Arial"/>
        </w:rPr>
        <w:t xml:space="preserve"> weight. </w:t>
      </w:r>
    </w:p>
    <w:p w14:paraId="116B3B5B" w14:textId="77777777" w:rsidR="00C91E6C" w:rsidRDefault="00C91E6C" w:rsidP="00C91E6C">
      <w:pPr>
        <w:pStyle w:val="ListParagraph"/>
        <w:spacing w:after="0" w:line="300" w:lineRule="atLeast"/>
        <w:ind w:left="709"/>
        <w:contextualSpacing w:val="0"/>
        <w:rPr>
          <w:rFonts w:ascii="Arial" w:hAnsi="Arial" w:cs="Arial"/>
        </w:rPr>
      </w:pPr>
    </w:p>
    <w:p w14:paraId="4EF76378" w14:textId="77777777" w:rsidR="001B543A" w:rsidRDefault="007C1655" w:rsidP="00E810AA">
      <w:pPr>
        <w:pStyle w:val="ListParagraph"/>
        <w:numPr>
          <w:ilvl w:val="1"/>
          <w:numId w:val="13"/>
        </w:numPr>
        <w:spacing w:after="0" w:line="300" w:lineRule="atLeast"/>
        <w:ind w:left="709" w:hanging="720"/>
        <w:contextualSpacing w:val="0"/>
        <w:rPr>
          <w:rFonts w:ascii="Arial" w:hAnsi="Arial" w:cs="Arial"/>
        </w:rPr>
      </w:pPr>
      <w:r w:rsidRPr="00E810AA">
        <w:rPr>
          <w:rFonts w:ascii="Arial" w:hAnsi="Arial" w:cs="Arial"/>
        </w:rPr>
        <w:t>Policy SP11 (Suitable Range of Housing) particularly relates to the development of new apartments and Houses in Multiple Occupation (HMOs) in Hyndburn.</w:t>
      </w:r>
      <w:r w:rsidR="00876261">
        <w:rPr>
          <w:rFonts w:ascii="Arial" w:hAnsi="Arial" w:cs="Arial"/>
        </w:rPr>
        <w:t xml:space="preserve"> </w:t>
      </w:r>
      <w:r w:rsidRPr="00E810AA">
        <w:rPr>
          <w:rFonts w:ascii="Arial" w:hAnsi="Arial" w:cs="Arial"/>
        </w:rPr>
        <w:t xml:space="preserve"> It states that the Council will seek to ensure that an appropriate range of housing is delivered in the plan period. New apartment development</w:t>
      </w:r>
      <w:r w:rsidR="00FD6486" w:rsidRPr="00E810AA">
        <w:rPr>
          <w:rFonts w:ascii="Arial" w:hAnsi="Arial" w:cs="Arial"/>
        </w:rPr>
        <w:t>s</w:t>
      </w:r>
      <w:r w:rsidRPr="00E810AA">
        <w:rPr>
          <w:rFonts w:ascii="Arial" w:hAnsi="Arial" w:cs="Arial"/>
        </w:rPr>
        <w:t xml:space="preserve"> (including Houses of Multiple Occupation) will only be supported where they would maintain the prevailing character and setting of the local area and are either:</w:t>
      </w:r>
    </w:p>
    <w:p w14:paraId="03AFCF22" w14:textId="77777777" w:rsidR="001B543A" w:rsidRPr="001B543A" w:rsidRDefault="001B543A" w:rsidP="001B543A">
      <w:pPr>
        <w:pStyle w:val="ListParagraph"/>
        <w:rPr>
          <w:rFonts w:ascii="Arial" w:hAnsi="Arial" w:cs="Arial"/>
        </w:rPr>
      </w:pPr>
    </w:p>
    <w:p w14:paraId="3D70C07D" w14:textId="53E58EE6" w:rsidR="001B543A" w:rsidRDefault="007C1655" w:rsidP="001B543A">
      <w:pPr>
        <w:pStyle w:val="ListParagraph"/>
        <w:spacing w:after="0" w:line="300" w:lineRule="atLeast"/>
        <w:ind w:left="709"/>
        <w:contextualSpacing w:val="0"/>
        <w:rPr>
          <w:rFonts w:ascii="Arial" w:hAnsi="Arial" w:cs="Arial"/>
        </w:rPr>
      </w:pPr>
      <w:r w:rsidRPr="00E810AA">
        <w:rPr>
          <w:rFonts w:ascii="Arial" w:hAnsi="Arial" w:cs="Arial"/>
        </w:rPr>
        <w:t xml:space="preserve">a) within town centres or within walking distance (250m or closer) of town </w:t>
      </w:r>
      <w:r w:rsidR="001B543A" w:rsidRPr="00E810AA">
        <w:rPr>
          <w:rFonts w:ascii="Arial" w:hAnsi="Arial" w:cs="Arial"/>
        </w:rPr>
        <w:t>centres.</w:t>
      </w:r>
      <w:r w:rsidRPr="00E810AA">
        <w:rPr>
          <w:rFonts w:ascii="Arial" w:hAnsi="Arial" w:cs="Arial"/>
        </w:rPr>
        <w:t xml:space="preserve"> </w:t>
      </w:r>
    </w:p>
    <w:p w14:paraId="5EC6A302" w14:textId="01BD3CE6" w:rsidR="001B543A" w:rsidRDefault="007C1655" w:rsidP="001B543A">
      <w:pPr>
        <w:pStyle w:val="ListParagraph"/>
        <w:spacing w:after="0" w:line="300" w:lineRule="atLeast"/>
        <w:ind w:left="709"/>
        <w:contextualSpacing w:val="0"/>
        <w:rPr>
          <w:rFonts w:ascii="Arial" w:hAnsi="Arial" w:cs="Arial"/>
        </w:rPr>
      </w:pPr>
      <w:r w:rsidRPr="00E810AA">
        <w:rPr>
          <w:rFonts w:ascii="Arial" w:hAnsi="Arial" w:cs="Arial"/>
        </w:rPr>
        <w:t xml:space="preserve">b) part of </w:t>
      </w:r>
      <w:r w:rsidR="001B543A" w:rsidRPr="00E810AA">
        <w:rPr>
          <w:rFonts w:ascii="Arial" w:hAnsi="Arial" w:cs="Arial"/>
        </w:rPr>
        <w:t>high-quality</w:t>
      </w:r>
      <w:r w:rsidRPr="00E810AA">
        <w:rPr>
          <w:rFonts w:ascii="Arial" w:hAnsi="Arial" w:cs="Arial"/>
        </w:rPr>
        <w:t xml:space="preserve"> development in canal-side locations where the regeneration benefits of this type of development can be demonstrated; </w:t>
      </w:r>
    </w:p>
    <w:p w14:paraId="149D1E84" w14:textId="77777777" w:rsidR="001B543A" w:rsidRDefault="007C1655" w:rsidP="001B543A">
      <w:pPr>
        <w:pStyle w:val="ListParagraph"/>
        <w:spacing w:after="0" w:line="300" w:lineRule="atLeast"/>
        <w:ind w:left="709"/>
        <w:contextualSpacing w:val="0"/>
        <w:rPr>
          <w:rFonts w:ascii="Arial" w:hAnsi="Arial" w:cs="Arial"/>
        </w:rPr>
      </w:pPr>
      <w:r w:rsidRPr="00E810AA">
        <w:rPr>
          <w:rFonts w:ascii="Arial" w:hAnsi="Arial" w:cs="Arial"/>
        </w:rPr>
        <w:t xml:space="preserve">c) part of strategy housing development where there is a need to provide a wider range of housing types; </w:t>
      </w:r>
    </w:p>
    <w:p w14:paraId="5B382D67" w14:textId="77777777" w:rsidR="001B543A" w:rsidRDefault="007C1655" w:rsidP="001B543A">
      <w:pPr>
        <w:pStyle w:val="ListParagraph"/>
        <w:spacing w:after="0" w:line="300" w:lineRule="atLeast"/>
        <w:ind w:left="709"/>
        <w:contextualSpacing w:val="0"/>
        <w:rPr>
          <w:rFonts w:ascii="Arial" w:hAnsi="Arial" w:cs="Arial"/>
        </w:rPr>
      </w:pPr>
      <w:r w:rsidRPr="00E810AA">
        <w:rPr>
          <w:rFonts w:ascii="Arial" w:hAnsi="Arial" w:cs="Arial"/>
        </w:rPr>
        <w:t>d) in locations that are well served by public transport and the development would secure the efficient use of land; or</w:t>
      </w:r>
    </w:p>
    <w:p w14:paraId="1973D40A" w14:textId="1532BD89" w:rsidR="001F7B54" w:rsidRDefault="007C1655" w:rsidP="001B543A">
      <w:pPr>
        <w:pStyle w:val="ListParagraph"/>
        <w:spacing w:after="0" w:line="300" w:lineRule="atLeast"/>
        <w:ind w:left="709"/>
        <w:contextualSpacing w:val="0"/>
        <w:rPr>
          <w:rFonts w:ascii="Arial" w:hAnsi="Arial" w:cs="Arial"/>
        </w:rPr>
      </w:pPr>
      <w:r w:rsidRPr="00E810AA">
        <w:rPr>
          <w:rFonts w:ascii="Arial" w:hAnsi="Arial" w:cs="Arial"/>
        </w:rPr>
        <w:t>e) part of a scheme that would involve the r</w:t>
      </w:r>
      <w:r w:rsidR="00D34147">
        <w:rPr>
          <w:rFonts w:ascii="Arial" w:hAnsi="Arial" w:cs="Arial"/>
        </w:rPr>
        <w:t>e</w:t>
      </w:r>
      <w:r w:rsidRPr="00E810AA">
        <w:rPr>
          <w:rFonts w:ascii="Arial" w:hAnsi="Arial" w:cs="Arial"/>
        </w:rPr>
        <w:t xml:space="preserve">use of adaptation of a historic mill building in an appropriate location. </w:t>
      </w:r>
    </w:p>
    <w:p w14:paraId="0B9A4606" w14:textId="77777777" w:rsidR="001F7B54" w:rsidRDefault="001F7B54" w:rsidP="001F7B54">
      <w:pPr>
        <w:pStyle w:val="ListParagraph"/>
        <w:spacing w:after="0" w:line="300" w:lineRule="atLeast"/>
        <w:ind w:left="709"/>
        <w:contextualSpacing w:val="0"/>
        <w:rPr>
          <w:rFonts w:ascii="Arial" w:hAnsi="Arial" w:cs="Arial"/>
        </w:rPr>
      </w:pPr>
    </w:p>
    <w:p w14:paraId="2F39CE1A" w14:textId="5ABCA9D6" w:rsidR="001F7B54" w:rsidRDefault="007C1655" w:rsidP="00A865D2">
      <w:pPr>
        <w:pStyle w:val="ListParagraph"/>
        <w:numPr>
          <w:ilvl w:val="1"/>
          <w:numId w:val="13"/>
        </w:numPr>
        <w:spacing w:after="0" w:line="300" w:lineRule="atLeast"/>
        <w:ind w:left="709" w:hanging="720"/>
        <w:contextualSpacing w:val="0"/>
        <w:rPr>
          <w:rFonts w:ascii="Arial" w:hAnsi="Arial" w:cs="Arial"/>
        </w:rPr>
      </w:pPr>
      <w:r w:rsidRPr="001B543A">
        <w:rPr>
          <w:rFonts w:ascii="Arial" w:hAnsi="Arial" w:cs="Arial"/>
        </w:rPr>
        <w:t xml:space="preserve">The explanatory text in paragraph 6.31 also notes that ‘new apartment development and HMOs in Hyndburn will only </w:t>
      </w:r>
      <w:r w:rsidR="001B543A" w:rsidRPr="001B543A">
        <w:rPr>
          <w:rFonts w:ascii="Arial" w:hAnsi="Arial" w:cs="Arial"/>
        </w:rPr>
        <w:t>be supported</w:t>
      </w:r>
      <w:r w:rsidRPr="001B543A">
        <w:rPr>
          <w:rFonts w:ascii="Arial" w:hAnsi="Arial" w:cs="Arial"/>
        </w:rPr>
        <w:t xml:space="preserve"> in the appropriate locations set out in Policy SP11 where they are well designed in terms of their appearance, size, and setting</w:t>
      </w:r>
      <w:r w:rsidR="001B543A" w:rsidRPr="001B543A">
        <w:rPr>
          <w:rFonts w:ascii="Arial" w:hAnsi="Arial" w:cs="Arial"/>
        </w:rPr>
        <w:t xml:space="preserve"> and meet other policy provisions relating to amenity and the effect on the </w:t>
      </w:r>
      <w:r w:rsidR="001B543A" w:rsidRPr="001B543A">
        <w:rPr>
          <w:rFonts w:ascii="Arial" w:hAnsi="Arial" w:cs="Arial"/>
        </w:rPr>
        <w:lastRenderedPageBreak/>
        <w:t>surrounding area</w:t>
      </w:r>
      <w:r w:rsidRPr="001B543A">
        <w:rPr>
          <w:rFonts w:ascii="Arial" w:hAnsi="Arial" w:cs="Arial"/>
        </w:rPr>
        <w:t xml:space="preserve">. </w:t>
      </w:r>
      <w:r w:rsidR="00ED3941" w:rsidRPr="001B543A">
        <w:rPr>
          <w:rFonts w:ascii="Arial" w:hAnsi="Arial" w:cs="Arial"/>
        </w:rPr>
        <w:t>The</w:t>
      </w:r>
      <w:r w:rsidRPr="001B543A">
        <w:rPr>
          <w:rFonts w:ascii="Arial" w:hAnsi="Arial" w:cs="Arial"/>
        </w:rPr>
        <w:t xml:space="preserve"> Nationally Described Space Standards (NDSS), which set out minimum space standards and room sizes have been adopted by the Counci</w:t>
      </w:r>
      <w:r w:rsidR="00ED3941" w:rsidRPr="001B543A">
        <w:rPr>
          <w:rFonts w:ascii="Arial" w:hAnsi="Arial" w:cs="Arial"/>
        </w:rPr>
        <w:t xml:space="preserve">l for all housing development. Paragraph 6.31 of the Hyndburn 2040 Local Plan also states that the </w:t>
      </w:r>
      <w:r w:rsidRPr="001B543A">
        <w:rPr>
          <w:rFonts w:ascii="Arial" w:hAnsi="Arial" w:cs="Arial"/>
        </w:rPr>
        <w:t xml:space="preserve">new </w:t>
      </w:r>
      <w:r w:rsidR="00261036" w:rsidRPr="001B543A">
        <w:rPr>
          <w:rFonts w:ascii="Arial" w:hAnsi="Arial" w:cs="Arial"/>
        </w:rPr>
        <w:t>housing developments, including conversion of existing building to flats, apartments and HMOs should comply with the NDSS</w:t>
      </w:r>
      <w:r w:rsidR="001B543A">
        <w:rPr>
          <w:rFonts w:ascii="Arial" w:hAnsi="Arial" w:cs="Arial"/>
        </w:rPr>
        <w:t xml:space="preserve">.  The Inspector at the examination of the Local Plan did not make any main modifications to this policy. It is therefore considered to carry substantial weight in decision making. </w:t>
      </w:r>
    </w:p>
    <w:p w14:paraId="30043C9A" w14:textId="77777777" w:rsidR="001B543A" w:rsidRPr="001B543A" w:rsidRDefault="001B543A" w:rsidP="001B543A">
      <w:pPr>
        <w:pStyle w:val="ListParagraph"/>
        <w:spacing w:after="0" w:line="300" w:lineRule="atLeast"/>
        <w:ind w:left="709"/>
        <w:contextualSpacing w:val="0"/>
        <w:rPr>
          <w:rFonts w:ascii="Arial" w:hAnsi="Arial" w:cs="Arial"/>
        </w:rPr>
      </w:pPr>
    </w:p>
    <w:p w14:paraId="57A4877F" w14:textId="7D855E46" w:rsidR="00085A56" w:rsidRDefault="008E0EAC" w:rsidP="00E810AA">
      <w:pPr>
        <w:pStyle w:val="ListParagraph"/>
        <w:numPr>
          <w:ilvl w:val="1"/>
          <w:numId w:val="13"/>
        </w:numPr>
        <w:spacing w:after="0" w:line="300" w:lineRule="atLeast"/>
        <w:ind w:left="709" w:hanging="720"/>
        <w:contextualSpacing w:val="0"/>
        <w:rPr>
          <w:rFonts w:ascii="Arial" w:hAnsi="Arial" w:cs="Arial"/>
        </w:rPr>
      </w:pPr>
      <w:r w:rsidRPr="00E810AA">
        <w:rPr>
          <w:rFonts w:ascii="Arial" w:hAnsi="Arial" w:cs="Arial"/>
        </w:rPr>
        <w:t>The policy approach to determining planning application</w:t>
      </w:r>
      <w:r w:rsidR="00876261">
        <w:rPr>
          <w:rFonts w:ascii="Arial" w:hAnsi="Arial" w:cs="Arial"/>
        </w:rPr>
        <w:t>s</w:t>
      </w:r>
      <w:r w:rsidRPr="00E810AA">
        <w:rPr>
          <w:rFonts w:ascii="Arial" w:hAnsi="Arial" w:cs="Arial"/>
        </w:rPr>
        <w:t xml:space="preserve"> for the formation of </w:t>
      </w:r>
      <w:r w:rsidR="008A3981" w:rsidRPr="00E810AA">
        <w:rPr>
          <w:rFonts w:ascii="Arial" w:hAnsi="Arial" w:cs="Arial"/>
        </w:rPr>
        <w:t>HMOs will be guided</w:t>
      </w:r>
      <w:r w:rsidRPr="00E810AA">
        <w:rPr>
          <w:rFonts w:ascii="Arial" w:hAnsi="Arial" w:cs="Arial"/>
        </w:rPr>
        <w:t xml:space="preserve"> by the emerging Local Plan</w:t>
      </w:r>
      <w:r w:rsidR="00F1523D" w:rsidRPr="00E810AA">
        <w:rPr>
          <w:rFonts w:ascii="Arial" w:hAnsi="Arial" w:cs="Arial"/>
        </w:rPr>
        <w:t xml:space="preserve"> with the intention to secure</w:t>
      </w:r>
      <w:r w:rsidRPr="00E810AA">
        <w:rPr>
          <w:rFonts w:ascii="Arial" w:hAnsi="Arial" w:cs="Arial"/>
        </w:rPr>
        <w:t xml:space="preserve"> strong and balanced communities.</w:t>
      </w:r>
      <w:r w:rsidR="00876261">
        <w:rPr>
          <w:rFonts w:ascii="Arial" w:hAnsi="Arial" w:cs="Arial"/>
        </w:rPr>
        <w:t xml:space="preserve"> </w:t>
      </w:r>
      <w:r w:rsidRPr="00E810AA">
        <w:rPr>
          <w:rFonts w:ascii="Arial" w:hAnsi="Arial" w:cs="Arial"/>
        </w:rPr>
        <w:t xml:space="preserve"> It is</w:t>
      </w:r>
      <w:r w:rsidR="00F1523D" w:rsidRPr="00E810AA">
        <w:rPr>
          <w:rFonts w:ascii="Arial" w:hAnsi="Arial" w:cs="Arial"/>
        </w:rPr>
        <w:t xml:space="preserve"> particularly</w:t>
      </w:r>
      <w:r w:rsidRPr="00E810AA">
        <w:rPr>
          <w:rFonts w:ascii="Arial" w:hAnsi="Arial" w:cs="Arial"/>
        </w:rPr>
        <w:t xml:space="preserve"> noted that Policy SP11 takes a relatively permissive approach towards the HMOs within the sustainable locations at town centres and edge of centres, canal-side locations with regeneration benefits, strategic housing sites, in locations well served by the public transport, etc.  That said,</w:t>
      </w:r>
      <w:r w:rsidR="00F1523D" w:rsidRPr="00E810AA">
        <w:rPr>
          <w:rFonts w:ascii="Arial" w:hAnsi="Arial" w:cs="Arial"/>
        </w:rPr>
        <w:t xml:space="preserve"> Policy SP11 should </w:t>
      </w:r>
      <w:r w:rsidR="00E7272F" w:rsidRPr="00E810AA">
        <w:rPr>
          <w:rFonts w:ascii="Arial" w:hAnsi="Arial" w:cs="Arial"/>
        </w:rPr>
        <w:t>be read in conjunction with</w:t>
      </w:r>
      <w:r w:rsidRPr="00E810AA">
        <w:rPr>
          <w:rFonts w:ascii="Arial" w:hAnsi="Arial" w:cs="Arial"/>
        </w:rPr>
        <w:t xml:space="preserve"> Policy SP20 (Environ</w:t>
      </w:r>
      <w:r w:rsidR="00E7272F" w:rsidRPr="00E810AA">
        <w:rPr>
          <w:rFonts w:ascii="Arial" w:hAnsi="Arial" w:cs="Arial"/>
        </w:rPr>
        <w:t xml:space="preserve">mental Amenity and Air Quality), which </w:t>
      </w:r>
      <w:r w:rsidRPr="00E810AA">
        <w:rPr>
          <w:rFonts w:ascii="Arial" w:hAnsi="Arial" w:cs="Arial"/>
        </w:rPr>
        <w:t xml:space="preserve">requires that new development will be permitted only if it is demonstrated that the material impact arising by virtue of traffic, visual impact, noise, dust, emissions, pollutions, odour, over-looking or loss of light, or other nuisance will not give rise to unacceptable adverse impact or loss of local amenity and can be properly controlled in accordance with best practice and recognised standards. </w:t>
      </w:r>
      <w:r w:rsidR="00876261">
        <w:rPr>
          <w:rFonts w:ascii="Arial" w:hAnsi="Arial" w:cs="Arial"/>
        </w:rPr>
        <w:t xml:space="preserve"> </w:t>
      </w:r>
      <w:r w:rsidRPr="00E810AA">
        <w:rPr>
          <w:rFonts w:ascii="Arial" w:hAnsi="Arial" w:cs="Arial"/>
        </w:rPr>
        <w:t>New development should ensure that the occupiers of the new development</w:t>
      </w:r>
      <w:r w:rsidR="00E7272F" w:rsidRPr="00E810AA">
        <w:rPr>
          <w:rFonts w:ascii="Arial" w:hAnsi="Arial" w:cs="Arial"/>
        </w:rPr>
        <w:t>s</w:t>
      </w:r>
      <w:r w:rsidRPr="00E810AA">
        <w:rPr>
          <w:rFonts w:ascii="Arial" w:hAnsi="Arial" w:cs="Arial"/>
        </w:rPr>
        <w:t xml:space="preserve"> </w:t>
      </w:r>
      <w:r w:rsidR="00E7272F" w:rsidRPr="00E810AA">
        <w:rPr>
          <w:rFonts w:ascii="Arial" w:hAnsi="Arial" w:cs="Arial"/>
        </w:rPr>
        <w:t>will</w:t>
      </w:r>
      <w:r w:rsidRPr="00E810AA">
        <w:rPr>
          <w:rFonts w:ascii="Arial" w:hAnsi="Arial" w:cs="Arial"/>
        </w:rPr>
        <w:t xml:space="preserve"> enjoy an appropriate standard of amenity and will not be adversely affected by neighbouring uses. </w:t>
      </w:r>
      <w:r w:rsidR="00876261">
        <w:rPr>
          <w:rFonts w:ascii="Arial" w:hAnsi="Arial" w:cs="Arial"/>
        </w:rPr>
        <w:t xml:space="preserve"> </w:t>
      </w:r>
      <w:r w:rsidR="00257013">
        <w:rPr>
          <w:rFonts w:ascii="Arial" w:hAnsi="Arial" w:cs="Arial"/>
        </w:rPr>
        <w:t xml:space="preserve">This policy was not </w:t>
      </w:r>
      <w:r w:rsidR="0014419B">
        <w:rPr>
          <w:rFonts w:ascii="Arial" w:hAnsi="Arial" w:cs="Arial"/>
        </w:rPr>
        <w:t>affected</w:t>
      </w:r>
      <w:r w:rsidR="00257013">
        <w:rPr>
          <w:rFonts w:ascii="Arial" w:hAnsi="Arial" w:cs="Arial"/>
        </w:rPr>
        <w:t xml:space="preserve"> by the Main Modifications to the Local Plan and therefore carries substantial weight in decision-making. </w:t>
      </w:r>
    </w:p>
    <w:p w14:paraId="5DEEFAFC" w14:textId="77777777" w:rsidR="001F7B54" w:rsidRPr="00E810AA" w:rsidRDefault="001F7B54" w:rsidP="001F7B54">
      <w:pPr>
        <w:pStyle w:val="ListParagraph"/>
        <w:spacing w:after="0" w:line="300" w:lineRule="atLeast"/>
        <w:ind w:left="709"/>
        <w:contextualSpacing w:val="0"/>
        <w:rPr>
          <w:rFonts w:ascii="Arial" w:hAnsi="Arial" w:cs="Arial"/>
        </w:rPr>
      </w:pPr>
    </w:p>
    <w:p w14:paraId="341F8C4F" w14:textId="77D083F6" w:rsidR="00E7272F" w:rsidRDefault="00E7272F" w:rsidP="00E810AA">
      <w:pPr>
        <w:pStyle w:val="ListParagraph"/>
        <w:numPr>
          <w:ilvl w:val="1"/>
          <w:numId w:val="13"/>
        </w:numPr>
        <w:spacing w:after="0" w:line="300" w:lineRule="atLeast"/>
        <w:ind w:left="709" w:hanging="720"/>
        <w:contextualSpacing w:val="0"/>
        <w:rPr>
          <w:rFonts w:ascii="Arial" w:hAnsi="Arial" w:cs="Arial"/>
        </w:rPr>
      </w:pPr>
      <w:r w:rsidRPr="00E810AA">
        <w:rPr>
          <w:rFonts w:ascii="Arial" w:hAnsi="Arial" w:cs="Arial"/>
        </w:rPr>
        <w:t>In the absence of an Article 4 Direc</w:t>
      </w:r>
      <w:r w:rsidR="00F82A31" w:rsidRPr="00E810AA">
        <w:rPr>
          <w:rFonts w:ascii="Arial" w:hAnsi="Arial" w:cs="Arial"/>
        </w:rPr>
        <w:t xml:space="preserve">tion of HMO, the formation of small HMOs (Class C4 use) through the change of use of existing dwellings will not </w:t>
      </w:r>
      <w:r w:rsidR="005F6DCD">
        <w:rPr>
          <w:rFonts w:ascii="Arial" w:hAnsi="Arial" w:cs="Arial"/>
        </w:rPr>
        <w:t xml:space="preserve">be </w:t>
      </w:r>
      <w:r w:rsidR="00E05523" w:rsidRPr="00E810AA">
        <w:rPr>
          <w:rFonts w:ascii="Arial" w:hAnsi="Arial" w:cs="Arial"/>
        </w:rPr>
        <w:t>subject to planning control</w:t>
      </w:r>
      <w:r w:rsidR="00F82A31" w:rsidRPr="00E810AA">
        <w:rPr>
          <w:rFonts w:ascii="Arial" w:hAnsi="Arial" w:cs="Arial"/>
        </w:rPr>
        <w:t xml:space="preserve">. </w:t>
      </w:r>
      <w:r w:rsidR="00876261">
        <w:rPr>
          <w:rFonts w:ascii="Arial" w:hAnsi="Arial" w:cs="Arial"/>
        </w:rPr>
        <w:t xml:space="preserve"> </w:t>
      </w:r>
      <w:r w:rsidR="00F82A31" w:rsidRPr="00E810AA">
        <w:rPr>
          <w:rFonts w:ascii="Arial" w:hAnsi="Arial" w:cs="Arial"/>
        </w:rPr>
        <w:t>Th</w:t>
      </w:r>
      <w:r w:rsidR="00E05523" w:rsidRPr="00E810AA">
        <w:rPr>
          <w:rFonts w:ascii="Arial" w:hAnsi="Arial" w:cs="Arial"/>
        </w:rPr>
        <w:t xml:space="preserve">erefore, </w:t>
      </w:r>
      <w:r w:rsidR="00311BE0">
        <w:rPr>
          <w:rFonts w:ascii="Arial" w:hAnsi="Arial" w:cs="Arial"/>
        </w:rPr>
        <w:t xml:space="preserve">at the present time </w:t>
      </w:r>
      <w:r w:rsidR="00E05523" w:rsidRPr="00E810AA">
        <w:rPr>
          <w:rFonts w:ascii="Arial" w:hAnsi="Arial" w:cs="Arial"/>
        </w:rPr>
        <w:t xml:space="preserve">only proposals in relation to the large HMOs (sui generis) will require planning </w:t>
      </w:r>
      <w:r w:rsidR="00BE01BD" w:rsidRPr="00E810AA">
        <w:rPr>
          <w:rFonts w:ascii="Arial" w:hAnsi="Arial" w:cs="Arial"/>
        </w:rPr>
        <w:t>permission and</w:t>
      </w:r>
      <w:r w:rsidR="00E05523" w:rsidRPr="00E810AA">
        <w:rPr>
          <w:rFonts w:ascii="Arial" w:hAnsi="Arial" w:cs="Arial"/>
        </w:rPr>
        <w:t xml:space="preserve"> be assessed in accordance with the relevant development plan policies and the NPPF. </w:t>
      </w:r>
      <w:r w:rsidR="00876261">
        <w:rPr>
          <w:rFonts w:ascii="Arial" w:hAnsi="Arial" w:cs="Arial"/>
        </w:rPr>
        <w:t xml:space="preserve"> </w:t>
      </w:r>
    </w:p>
    <w:p w14:paraId="395688B8" w14:textId="77777777" w:rsidR="00876261" w:rsidRDefault="00876261" w:rsidP="00876261">
      <w:pPr>
        <w:spacing w:after="0" w:line="300" w:lineRule="atLeast"/>
        <w:ind w:left="-11"/>
        <w:rPr>
          <w:rFonts w:ascii="Arial" w:hAnsi="Arial" w:cs="Arial"/>
        </w:rPr>
      </w:pPr>
    </w:p>
    <w:p w14:paraId="47C7C266" w14:textId="77777777" w:rsidR="00876261" w:rsidRPr="00876261" w:rsidRDefault="00876261" w:rsidP="00876261">
      <w:pPr>
        <w:spacing w:after="0" w:line="300" w:lineRule="atLeast"/>
        <w:ind w:left="-11"/>
        <w:rPr>
          <w:rFonts w:ascii="Arial" w:hAnsi="Arial" w:cs="Arial"/>
        </w:rPr>
      </w:pPr>
    </w:p>
    <w:p w14:paraId="5579AECD" w14:textId="77777777" w:rsidR="00E05523" w:rsidRPr="00E810AA" w:rsidRDefault="00E05523" w:rsidP="00E810AA">
      <w:pPr>
        <w:pStyle w:val="ListParagraph"/>
        <w:spacing w:after="0" w:line="300" w:lineRule="atLeast"/>
        <w:ind w:left="709"/>
        <w:contextualSpacing w:val="0"/>
        <w:rPr>
          <w:rFonts w:ascii="Arial" w:hAnsi="Arial" w:cs="Arial"/>
        </w:rPr>
      </w:pPr>
    </w:p>
    <w:p w14:paraId="3833CFF5" w14:textId="77777777" w:rsidR="00E05523" w:rsidRPr="001F7B54" w:rsidRDefault="00E05523" w:rsidP="00E810AA">
      <w:pPr>
        <w:spacing w:after="0" w:line="300" w:lineRule="atLeast"/>
        <w:rPr>
          <w:rFonts w:ascii="Arial" w:eastAsiaTheme="majorEastAsia" w:hAnsi="Arial" w:cs="Arial"/>
          <w:b/>
          <w:color w:val="000000" w:themeColor="text1"/>
        </w:rPr>
      </w:pPr>
      <w:r w:rsidRPr="00E810AA">
        <w:rPr>
          <w:rFonts w:ascii="Arial" w:hAnsi="Arial" w:cs="Arial"/>
          <w:b/>
        </w:rPr>
        <w:br w:type="page"/>
      </w:r>
    </w:p>
    <w:p w14:paraId="36BDA98B" w14:textId="77777777" w:rsidR="008E6FE3" w:rsidRPr="00985D98" w:rsidRDefault="00085A56" w:rsidP="00E810AA">
      <w:pPr>
        <w:pStyle w:val="Heading1"/>
        <w:numPr>
          <w:ilvl w:val="0"/>
          <w:numId w:val="14"/>
        </w:numPr>
        <w:spacing w:before="0" w:line="300" w:lineRule="atLeast"/>
        <w:ind w:hanging="720"/>
        <w:rPr>
          <w:rFonts w:ascii="Arial" w:hAnsi="Arial" w:cs="Arial"/>
          <w:b/>
          <w:sz w:val="24"/>
          <w:szCs w:val="24"/>
        </w:rPr>
      </w:pPr>
      <w:bookmarkStart w:id="4" w:name="_Toc223633620"/>
      <w:r w:rsidRPr="00985D98">
        <w:rPr>
          <w:rFonts w:ascii="Arial" w:hAnsi="Arial" w:cs="Arial"/>
          <w:b/>
          <w:sz w:val="24"/>
          <w:szCs w:val="24"/>
        </w:rPr>
        <w:lastRenderedPageBreak/>
        <w:t>H</w:t>
      </w:r>
      <w:r w:rsidR="008E0EAC" w:rsidRPr="00985D98">
        <w:rPr>
          <w:rFonts w:ascii="Arial" w:hAnsi="Arial" w:cs="Arial"/>
          <w:b/>
          <w:sz w:val="24"/>
          <w:szCs w:val="24"/>
        </w:rPr>
        <w:t>MOs in Hyndburn</w:t>
      </w:r>
      <w:bookmarkEnd w:id="4"/>
      <w:r w:rsidR="008E0EAC" w:rsidRPr="00985D98">
        <w:rPr>
          <w:rFonts w:ascii="Arial" w:hAnsi="Arial" w:cs="Arial"/>
          <w:b/>
          <w:sz w:val="24"/>
          <w:szCs w:val="24"/>
        </w:rPr>
        <w:t xml:space="preserve">  </w:t>
      </w:r>
    </w:p>
    <w:p w14:paraId="251E1489" w14:textId="77777777" w:rsidR="00085A56" w:rsidRPr="00E810AA" w:rsidRDefault="00085A56" w:rsidP="00E810AA">
      <w:pPr>
        <w:spacing w:after="0" w:line="300" w:lineRule="atLeast"/>
        <w:rPr>
          <w:rFonts w:ascii="Arial" w:hAnsi="Arial" w:cs="Arial"/>
        </w:rPr>
      </w:pPr>
    </w:p>
    <w:p w14:paraId="0E0699D9" w14:textId="09311B25" w:rsidR="00161BCB" w:rsidRDefault="00085A56" w:rsidP="00E810AA">
      <w:pPr>
        <w:spacing w:after="0" w:line="300" w:lineRule="atLeast"/>
        <w:ind w:left="709" w:hanging="709"/>
        <w:rPr>
          <w:rFonts w:ascii="Arial" w:hAnsi="Arial" w:cs="Arial"/>
        </w:rPr>
      </w:pPr>
      <w:r w:rsidRPr="00E810AA">
        <w:rPr>
          <w:rFonts w:ascii="Arial" w:hAnsi="Arial" w:cs="Arial"/>
        </w:rPr>
        <w:t>5.1</w:t>
      </w:r>
      <w:r w:rsidRPr="00E810AA">
        <w:rPr>
          <w:rFonts w:ascii="Arial" w:hAnsi="Arial" w:cs="Arial"/>
        </w:rPr>
        <w:tab/>
      </w:r>
      <w:r w:rsidR="00161BCB">
        <w:rPr>
          <w:rFonts w:ascii="Arial" w:hAnsi="Arial" w:cs="Arial"/>
        </w:rPr>
        <w:t>National P</w:t>
      </w:r>
      <w:r w:rsidR="007A76A4" w:rsidRPr="00E810AA">
        <w:rPr>
          <w:rFonts w:ascii="Arial" w:hAnsi="Arial" w:cs="Arial"/>
        </w:rPr>
        <w:t xml:space="preserve">lanning Practice Guidance </w:t>
      </w:r>
      <w:r w:rsidR="00E11441" w:rsidRPr="00E810AA">
        <w:rPr>
          <w:rFonts w:ascii="Arial" w:hAnsi="Arial" w:cs="Arial"/>
        </w:rPr>
        <w:t xml:space="preserve">(PPG) </w:t>
      </w:r>
      <w:r w:rsidR="007A76A4" w:rsidRPr="00E810AA">
        <w:rPr>
          <w:rFonts w:ascii="Arial" w:hAnsi="Arial" w:cs="Arial"/>
        </w:rPr>
        <w:t>requires there to be a ‘particularly strong’ justification if a Direction is to relate to a wide area (for example</w:t>
      </w:r>
      <w:r w:rsidR="005F6DCD">
        <w:rPr>
          <w:rFonts w:ascii="Arial" w:hAnsi="Arial" w:cs="Arial"/>
        </w:rPr>
        <w:t>,</w:t>
      </w:r>
      <w:r w:rsidR="007A76A4" w:rsidRPr="00E810AA">
        <w:rPr>
          <w:rFonts w:ascii="Arial" w:hAnsi="Arial" w:cs="Arial"/>
        </w:rPr>
        <w:t xml:space="preserve"> covering the entire area of a local planning authority). </w:t>
      </w:r>
      <w:r w:rsidR="00161BCB">
        <w:rPr>
          <w:rFonts w:ascii="Arial" w:hAnsi="Arial" w:cs="Arial"/>
        </w:rPr>
        <w:t xml:space="preserve"> </w:t>
      </w:r>
      <w:r w:rsidR="008E6FE3" w:rsidRPr="00E810AA">
        <w:rPr>
          <w:rFonts w:ascii="Arial" w:hAnsi="Arial" w:cs="Arial"/>
        </w:rPr>
        <w:t xml:space="preserve">By way of national context, it should be noted that Article 4 Directions relating to HMO development that cover an entire Local Planning Authority Area are not uncommon. They have </w:t>
      </w:r>
      <w:r w:rsidR="00C75C49" w:rsidRPr="00E810AA">
        <w:rPr>
          <w:rFonts w:ascii="Arial" w:hAnsi="Arial" w:cs="Arial"/>
        </w:rPr>
        <w:t xml:space="preserve">been </w:t>
      </w:r>
      <w:r w:rsidR="008E6FE3" w:rsidRPr="00E810AA">
        <w:rPr>
          <w:rFonts w:ascii="Arial" w:hAnsi="Arial" w:cs="Arial"/>
        </w:rPr>
        <w:t xml:space="preserve">implemented in </w:t>
      </w:r>
      <w:r w:rsidR="00C75C49" w:rsidRPr="00E810AA">
        <w:rPr>
          <w:rFonts w:ascii="Arial" w:hAnsi="Arial" w:cs="Arial"/>
        </w:rPr>
        <w:t xml:space="preserve">a </w:t>
      </w:r>
      <w:r w:rsidR="008E6FE3" w:rsidRPr="00E810AA">
        <w:rPr>
          <w:rFonts w:ascii="Arial" w:hAnsi="Arial" w:cs="Arial"/>
        </w:rPr>
        <w:t>significant number of cities, district</w:t>
      </w:r>
      <w:r w:rsidR="00161BCB">
        <w:rPr>
          <w:rFonts w:ascii="Arial" w:hAnsi="Arial" w:cs="Arial"/>
        </w:rPr>
        <w:t>s</w:t>
      </w:r>
      <w:r w:rsidR="008E6FE3" w:rsidRPr="00E810AA">
        <w:rPr>
          <w:rFonts w:ascii="Arial" w:hAnsi="Arial" w:cs="Arial"/>
        </w:rPr>
        <w:t>, and boroughs, including Manchester, Oxford, Portsmouth</w:t>
      </w:r>
      <w:r w:rsidR="00257013">
        <w:rPr>
          <w:rFonts w:ascii="Arial" w:hAnsi="Arial" w:cs="Arial"/>
        </w:rPr>
        <w:t xml:space="preserve">, </w:t>
      </w:r>
      <w:r w:rsidR="008E6FE3" w:rsidRPr="00E810AA">
        <w:rPr>
          <w:rFonts w:ascii="Arial" w:hAnsi="Arial" w:cs="Arial"/>
        </w:rPr>
        <w:t>York</w:t>
      </w:r>
      <w:r w:rsidR="00257013">
        <w:rPr>
          <w:rFonts w:ascii="Arial" w:hAnsi="Arial" w:cs="Arial"/>
        </w:rPr>
        <w:t>, Chorley and Rossendale</w:t>
      </w:r>
      <w:r w:rsidR="008E6FE3" w:rsidRPr="00E810AA">
        <w:rPr>
          <w:rFonts w:ascii="Arial" w:hAnsi="Arial" w:cs="Arial"/>
        </w:rPr>
        <w:t xml:space="preserve">. </w:t>
      </w:r>
      <w:r w:rsidR="00161BCB">
        <w:rPr>
          <w:rFonts w:ascii="Arial" w:hAnsi="Arial" w:cs="Arial"/>
        </w:rPr>
        <w:t xml:space="preserve"> </w:t>
      </w:r>
      <w:r w:rsidR="008E6FE3" w:rsidRPr="00E810AA">
        <w:rPr>
          <w:rFonts w:ascii="Arial" w:hAnsi="Arial" w:cs="Arial"/>
        </w:rPr>
        <w:t xml:space="preserve">There are therefore clear precedents for such a measure being appropriate </w:t>
      </w:r>
      <w:r w:rsidR="00DA25B4" w:rsidRPr="00E810AA">
        <w:rPr>
          <w:rFonts w:ascii="Arial" w:hAnsi="Arial" w:cs="Arial"/>
        </w:rPr>
        <w:t>within the local authority areas with</w:t>
      </w:r>
      <w:r w:rsidR="008E6FE3" w:rsidRPr="00E810AA">
        <w:rPr>
          <w:rFonts w:ascii="Arial" w:hAnsi="Arial" w:cs="Arial"/>
        </w:rPr>
        <w:t xml:space="preserve"> significant numbers of HMOs. </w:t>
      </w:r>
      <w:r w:rsidR="00161BCB">
        <w:rPr>
          <w:rFonts w:ascii="Arial" w:hAnsi="Arial" w:cs="Arial"/>
        </w:rPr>
        <w:t xml:space="preserve"> </w:t>
      </w:r>
    </w:p>
    <w:p w14:paraId="2E48D7A6" w14:textId="77777777" w:rsidR="00985D98" w:rsidRDefault="00985D98" w:rsidP="00E810AA">
      <w:pPr>
        <w:spacing w:after="0" w:line="300" w:lineRule="atLeast"/>
        <w:ind w:left="709" w:hanging="709"/>
        <w:rPr>
          <w:rFonts w:ascii="Arial" w:hAnsi="Arial" w:cs="Arial"/>
        </w:rPr>
      </w:pPr>
    </w:p>
    <w:p w14:paraId="3B85CF86" w14:textId="1A0FE000" w:rsidR="008E6FE3" w:rsidRDefault="00985D98" w:rsidP="00E810AA">
      <w:pPr>
        <w:spacing w:after="0" w:line="300" w:lineRule="atLeast"/>
        <w:ind w:left="709" w:hanging="709"/>
        <w:rPr>
          <w:rFonts w:ascii="Arial" w:hAnsi="Arial" w:cs="Arial"/>
        </w:rPr>
      </w:pPr>
      <w:r>
        <w:rPr>
          <w:rFonts w:ascii="Arial" w:hAnsi="Arial" w:cs="Arial"/>
        </w:rPr>
        <w:t>5.2</w:t>
      </w:r>
      <w:r>
        <w:rPr>
          <w:rFonts w:ascii="Arial" w:hAnsi="Arial" w:cs="Arial"/>
        </w:rPr>
        <w:tab/>
        <w:t>Notwithstanding this, the use of</w:t>
      </w:r>
      <w:r w:rsidR="00BD044B" w:rsidRPr="00E810AA">
        <w:rPr>
          <w:rFonts w:ascii="Arial" w:hAnsi="Arial" w:cs="Arial"/>
        </w:rPr>
        <w:t xml:space="preserve"> Article 4 Directions to suspend permitt</w:t>
      </w:r>
      <w:r>
        <w:rPr>
          <w:rFonts w:ascii="Arial" w:hAnsi="Arial" w:cs="Arial"/>
        </w:rPr>
        <w:t>ed development rights across an</w:t>
      </w:r>
      <w:r w:rsidR="00BD044B" w:rsidRPr="00E810AA">
        <w:rPr>
          <w:rFonts w:ascii="Arial" w:hAnsi="Arial" w:cs="Arial"/>
        </w:rPr>
        <w:t xml:space="preserve"> entire administrative area should not be the norm. There has to be ‘a particularly st</w:t>
      </w:r>
      <w:r w:rsidR="00C22DF2" w:rsidRPr="00E810AA">
        <w:rPr>
          <w:rFonts w:ascii="Arial" w:hAnsi="Arial" w:cs="Arial"/>
        </w:rPr>
        <w:t>rong</w:t>
      </w:r>
      <w:r w:rsidR="00BD044B" w:rsidRPr="00E810AA">
        <w:rPr>
          <w:rFonts w:ascii="Arial" w:hAnsi="Arial" w:cs="Arial"/>
        </w:rPr>
        <w:t xml:space="preserve"> justification’ for the withdrawal of the permitted development right across a wide area, while Directions should ‘apply to the smallest geographical area possible’ (MHCLG, 2021 paragraph 38). </w:t>
      </w:r>
      <w:r>
        <w:rPr>
          <w:rFonts w:ascii="Arial" w:hAnsi="Arial" w:cs="Arial"/>
        </w:rPr>
        <w:t xml:space="preserve"> </w:t>
      </w:r>
      <w:r w:rsidR="00E11441" w:rsidRPr="00E810AA">
        <w:rPr>
          <w:rFonts w:ascii="Arial" w:hAnsi="Arial" w:cs="Arial"/>
        </w:rPr>
        <w:t>In light of the guidance provided by the PPG</w:t>
      </w:r>
      <w:r w:rsidR="00550C20" w:rsidRPr="00E810AA">
        <w:rPr>
          <w:rFonts w:ascii="Arial" w:hAnsi="Arial" w:cs="Arial"/>
        </w:rPr>
        <w:t>, quantitative and qualitative data from various source</w:t>
      </w:r>
      <w:r w:rsidR="005F6DCD">
        <w:rPr>
          <w:rFonts w:ascii="Arial" w:hAnsi="Arial" w:cs="Arial"/>
        </w:rPr>
        <w:t>s</w:t>
      </w:r>
      <w:r w:rsidR="00550C20" w:rsidRPr="00E810AA">
        <w:rPr>
          <w:rFonts w:ascii="Arial" w:hAnsi="Arial" w:cs="Arial"/>
        </w:rPr>
        <w:t xml:space="preserve"> and agencies </w:t>
      </w:r>
      <w:r w:rsidR="005F6DCD">
        <w:rPr>
          <w:rFonts w:ascii="Arial" w:hAnsi="Arial" w:cs="Arial"/>
        </w:rPr>
        <w:t>have been</w:t>
      </w:r>
      <w:r w:rsidR="00550C20" w:rsidRPr="00E810AA">
        <w:rPr>
          <w:rFonts w:ascii="Arial" w:hAnsi="Arial" w:cs="Arial"/>
        </w:rPr>
        <w:t xml:space="preserve"> analysed, to </w:t>
      </w:r>
      <w:r w:rsidR="00F715A2" w:rsidRPr="00E810AA">
        <w:rPr>
          <w:rFonts w:ascii="Arial" w:hAnsi="Arial" w:cs="Arial"/>
        </w:rPr>
        <w:t xml:space="preserve">allow the Council to </w:t>
      </w:r>
      <w:r w:rsidR="00550C20" w:rsidRPr="00E810AA">
        <w:rPr>
          <w:rFonts w:ascii="Arial" w:hAnsi="Arial" w:cs="Arial"/>
        </w:rPr>
        <w:t xml:space="preserve">determine the </w:t>
      </w:r>
      <w:r w:rsidR="00F715A2" w:rsidRPr="00E810AA">
        <w:rPr>
          <w:rFonts w:ascii="Arial" w:hAnsi="Arial" w:cs="Arial"/>
        </w:rPr>
        <w:t xml:space="preserve">areas </w:t>
      </w:r>
      <w:r w:rsidR="00550C20" w:rsidRPr="00E810AA">
        <w:rPr>
          <w:rFonts w:ascii="Arial" w:hAnsi="Arial" w:cs="Arial"/>
        </w:rPr>
        <w:t>to be affected</w:t>
      </w:r>
      <w:r w:rsidR="007363A0" w:rsidRPr="00E810AA">
        <w:rPr>
          <w:rFonts w:ascii="Arial" w:hAnsi="Arial" w:cs="Arial"/>
        </w:rPr>
        <w:t xml:space="preserve"> by the </w:t>
      </w:r>
      <w:r w:rsidR="008E6FE3" w:rsidRPr="00E810AA">
        <w:rPr>
          <w:rFonts w:ascii="Arial" w:hAnsi="Arial" w:cs="Arial"/>
        </w:rPr>
        <w:t xml:space="preserve">proposed </w:t>
      </w:r>
      <w:r w:rsidR="00F715A2" w:rsidRPr="00E810AA">
        <w:rPr>
          <w:rFonts w:ascii="Arial" w:hAnsi="Arial" w:cs="Arial"/>
        </w:rPr>
        <w:t xml:space="preserve">Article 4 </w:t>
      </w:r>
      <w:r w:rsidR="008E6FE3" w:rsidRPr="00E810AA">
        <w:rPr>
          <w:rFonts w:ascii="Arial" w:hAnsi="Arial" w:cs="Arial"/>
        </w:rPr>
        <w:t>D</w:t>
      </w:r>
      <w:r w:rsidR="00C75C49" w:rsidRPr="00E810AA">
        <w:rPr>
          <w:rFonts w:ascii="Arial" w:hAnsi="Arial" w:cs="Arial"/>
        </w:rPr>
        <w:t>irection in Hyndburn</w:t>
      </w:r>
      <w:r w:rsidR="00550C20" w:rsidRPr="00E810AA">
        <w:rPr>
          <w:rFonts w:ascii="Arial" w:hAnsi="Arial" w:cs="Arial"/>
        </w:rPr>
        <w:t>.</w:t>
      </w:r>
      <w:r w:rsidR="008E6FE3" w:rsidRPr="00E810AA">
        <w:rPr>
          <w:rFonts w:ascii="Arial" w:hAnsi="Arial" w:cs="Arial"/>
        </w:rPr>
        <w:t xml:space="preserve"> </w:t>
      </w:r>
    </w:p>
    <w:p w14:paraId="177727D1" w14:textId="77777777" w:rsidR="001F7B54" w:rsidRPr="00E810AA" w:rsidRDefault="001F7B54" w:rsidP="001F7B54">
      <w:pPr>
        <w:spacing w:after="0" w:line="300" w:lineRule="atLeast"/>
        <w:rPr>
          <w:rFonts w:ascii="Arial" w:hAnsi="Arial" w:cs="Arial"/>
        </w:rPr>
      </w:pPr>
    </w:p>
    <w:p w14:paraId="513F3220" w14:textId="77777777" w:rsidR="008E6FE3" w:rsidRPr="001F7B54" w:rsidRDefault="008E6FE3" w:rsidP="00E810AA">
      <w:pPr>
        <w:pStyle w:val="ListParagraph"/>
        <w:spacing w:after="0" w:line="300" w:lineRule="atLeast"/>
        <w:ind w:left="709"/>
        <w:contextualSpacing w:val="0"/>
        <w:rPr>
          <w:rFonts w:ascii="Arial" w:hAnsi="Arial" w:cs="Arial"/>
          <w:b/>
        </w:rPr>
      </w:pPr>
      <w:r w:rsidRPr="001F7B54">
        <w:rPr>
          <w:rFonts w:ascii="Arial" w:hAnsi="Arial" w:cs="Arial"/>
          <w:b/>
        </w:rPr>
        <w:t>Current Supply and Concentration of HMOs in Hyndburn.</w:t>
      </w:r>
    </w:p>
    <w:p w14:paraId="0072CE1F" w14:textId="77777777" w:rsidR="001F7B54" w:rsidRPr="001F7B54" w:rsidRDefault="001F7B54" w:rsidP="001F7B54">
      <w:pPr>
        <w:spacing w:after="0" w:line="300" w:lineRule="atLeast"/>
        <w:rPr>
          <w:rFonts w:ascii="Arial" w:hAnsi="Arial" w:cs="Arial"/>
          <w:u w:val="single"/>
        </w:rPr>
      </w:pPr>
    </w:p>
    <w:p w14:paraId="4F5A1C3B" w14:textId="4E07B2C1" w:rsidR="00985D98" w:rsidRDefault="00985D98" w:rsidP="00E810AA">
      <w:pPr>
        <w:spacing w:after="0" w:line="300" w:lineRule="atLeast"/>
        <w:ind w:left="709" w:hanging="709"/>
        <w:rPr>
          <w:rFonts w:ascii="Arial" w:hAnsi="Arial" w:cs="Arial"/>
        </w:rPr>
      </w:pPr>
      <w:r>
        <w:rPr>
          <w:rFonts w:ascii="Arial" w:hAnsi="Arial" w:cs="Arial"/>
        </w:rPr>
        <w:t>5.3</w:t>
      </w:r>
      <w:r w:rsidR="00085A56" w:rsidRPr="00E810AA">
        <w:rPr>
          <w:rFonts w:ascii="Arial" w:hAnsi="Arial" w:cs="Arial"/>
        </w:rPr>
        <w:tab/>
      </w:r>
      <w:r w:rsidR="008E0EAC" w:rsidRPr="00E810AA">
        <w:rPr>
          <w:rFonts w:ascii="Arial" w:hAnsi="Arial" w:cs="Arial"/>
        </w:rPr>
        <w:t>Given</w:t>
      </w:r>
      <w:r>
        <w:rPr>
          <w:rFonts w:ascii="Arial" w:hAnsi="Arial" w:cs="Arial"/>
        </w:rPr>
        <w:t xml:space="preserve"> the Council hasn’t </w:t>
      </w:r>
      <w:r w:rsidR="005F6DCD">
        <w:rPr>
          <w:rFonts w:ascii="Arial" w:hAnsi="Arial" w:cs="Arial"/>
        </w:rPr>
        <w:t xml:space="preserve">previously </w:t>
      </w:r>
      <w:r>
        <w:rPr>
          <w:rFonts w:ascii="Arial" w:hAnsi="Arial" w:cs="Arial"/>
        </w:rPr>
        <w:t>had an</w:t>
      </w:r>
      <w:r w:rsidR="001447EB" w:rsidRPr="00E810AA">
        <w:rPr>
          <w:rFonts w:ascii="Arial" w:hAnsi="Arial" w:cs="Arial"/>
        </w:rPr>
        <w:t xml:space="preserve"> Article 4 Direction for HMOs</w:t>
      </w:r>
      <w:r>
        <w:rPr>
          <w:rFonts w:ascii="Arial" w:hAnsi="Arial" w:cs="Arial"/>
        </w:rPr>
        <w:t xml:space="preserve"> in place, and that</w:t>
      </w:r>
      <w:r w:rsidR="008E0EAC" w:rsidRPr="00E810AA">
        <w:rPr>
          <w:rFonts w:ascii="Arial" w:hAnsi="Arial" w:cs="Arial"/>
        </w:rPr>
        <w:t xml:space="preserve"> small HMOs </w:t>
      </w:r>
      <w:r w:rsidR="004E39BD" w:rsidRPr="00E810AA">
        <w:rPr>
          <w:rFonts w:ascii="Arial" w:hAnsi="Arial" w:cs="Arial"/>
        </w:rPr>
        <w:t xml:space="preserve">outside the areas of the selective licencing scheme (implemented between March 2018 and March 2023) </w:t>
      </w:r>
      <w:r w:rsidR="008E0EAC" w:rsidRPr="00E810AA">
        <w:rPr>
          <w:rFonts w:ascii="Arial" w:hAnsi="Arial" w:cs="Arial"/>
        </w:rPr>
        <w:t xml:space="preserve">are exempted from </w:t>
      </w:r>
      <w:r w:rsidR="004E39BD" w:rsidRPr="00E810AA">
        <w:rPr>
          <w:rFonts w:ascii="Arial" w:hAnsi="Arial" w:cs="Arial"/>
        </w:rPr>
        <w:t>any licencing requirement</w:t>
      </w:r>
      <w:r>
        <w:rPr>
          <w:rFonts w:ascii="Arial" w:hAnsi="Arial" w:cs="Arial"/>
        </w:rPr>
        <w:t>, it is</w:t>
      </w:r>
      <w:r w:rsidR="001447EB" w:rsidRPr="00E810AA">
        <w:rPr>
          <w:rFonts w:ascii="Arial" w:hAnsi="Arial" w:cs="Arial"/>
        </w:rPr>
        <w:t xml:space="preserve"> </w:t>
      </w:r>
      <w:r w:rsidR="008E0EAC" w:rsidRPr="00E810AA">
        <w:rPr>
          <w:rFonts w:ascii="Arial" w:hAnsi="Arial" w:cs="Arial"/>
        </w:rPr>
        <w:t>difficult to estimate the exact number of the existing small HMOs</w:t>
      </w:r>
      <w:r w:rsidR="001447EB" w:rsidRPr="00E810AA">
        <w:rPr>
          <w:rFonts w:ascii="Arial" w:hAnsi="Arial" w:cs="Arial"/>
        </w:rPr>
        <w:t xml:space="preserve"> and their distribution</w:t>
      </w:r>
      <w:r w:rsidR="008E0EAC" w:rsidRPr="00E810AA">
        <w:rPr>
          <w:rFonts w:ascii="Arial" w:hAnsi="Arial" w:cs="Arial"/>
        </w:rPr>
        <w:t xml:space="preserve"> within the Borough.</w:t>
      </w:r>
      <w:r>
        <w:rPr>
          <w:rFonts w:ascii="Arial" w:hAnsi="Arial" w:cs="Arial"/>
        </w:rPr>
        <w:t xml:space="preserve"> </w:t>
      </w:r>
      <w:r w:rsidR="008E0EAC" w:rsidRPr="00E810AA">
        <w:rPr>
          <w:rFonts w:ascii="Arial" w:hAnsi="Arial" w:cs="Arial"/>
        </w:rPr>
        <w:t xml:space="preserve"> </w:t>
      </w:r>
    </w:p>
    <w:p w14:paraId="4EF9DA47" w14:textId="77777777" w:rsidR="00985D98" w:rsidRDefault="00985D98" w:rsidP="00E810AA">
      <w:pPr>
        <w:spacing w:after="0" w:line="300" w:lineRule="atLeast"/>
        <w:ind w:left="709" w:hanging="709"/>
        <w:rPr>
          <w:rFonts w:ascii="Arial" w:hAnsi="Arial" w:cs="Arial"/>
        </w:rPr>
      </w:pPr>
    </w:p>
    <w:p w14:paraId="6237A8BD" w14:textId="74DAEB7F" w:rsidR="008E6FE3" w:rsidRDefault="00985D98" w:rsidP="00E810AA">
      <w:pPr>
        <w:spacing w:after="0" w:line="300" w:lineRule="atLeast"/>
        <w:ind w:left="709" w:hanging="709"/>
        <w:rPr>
          <w:rFonts w:ascii="Arial" w:hAnsi="Arial" w:cs="Arial"/>
        </w:rPr>
      </w:pPr>
      <w:r>
        <w:rPr>
          <w:rFonts w:ascii="Arial" w:hAnsi="Arial" w:cs="Arial"/>
        </w:rPr>
        <w:t>5.4</w:t>
      </w:r>
      <w:r>
        <w:rPr>
          <w:rFonts w:ascii="Arial" w:hAnsi="Arial" w:cs="Arial"/>
        </w:rPr>
        <w:tab/>
        <w:t>In order to establish as good an understanding as possible</w:t>
      </w:r>
      <w:r w:rsidR="009F2998" w:rsidRPr="00E810AA">
        <w:rPr>
          <w:rFonts w:ascii="Arial" w:hAnsi="Arial" w:cs="Arial"/>
        </w:rPr>
        <w:t xml:space="preserve"> of the number and distribution of </w:t>
      </w:r>
      <w:r w:rsidR="005F6DCD">
        <w:rPr>
          <w:rFonts w:ascii="Arial" w:hAnsi="Arial" w:cs="Arial"/>
        </w:rPr>
        <w:t>s</w:t>
      </w:r>
      <w:r w:rsidR="009F2998" w:rsidRPr="00E810AA">
        <w:rPr>
          <w:rFonts w:ascii="Arial" w:hAnsi="Arial" w:cs="Arial"/>
        </w:rPr>
        <w:t>mall HMOs</w:t>
      </w:r>
      <w:r w:rsidR="008E0EAC" w:rsidRPr="00E810AA">
        <w:rPr>
          <w:rFonts w:ascii="Arial" w:hAnsi="Arial" w:cs="Arial"/>
        </w:rPr>
        <w:t>,</w:t>
      </w:r>
      <w:r w:rsidR="0090457D" w:rsidRPr="00E810AA">
        <w:rPr>
          <w:rFonts w:ascii="Arial" w:hAnsi="Arial" w:cs="Arial"/>
        </w:rPr>
        <w:t xml:space="preserve"> HMO data has been</w:t>
      </w:r>
      <w:r>
        <w:rPr>
          <w:rFonts w:ascii="Arial" w:hAnsi="Arial" w:cs="Arial"/>
        </w:rPr>
        <w:t xml:space="preserve"> collected from various sources</w:t>
      </w:r>
      <w:r w:rsidR="0090457D" w:rsidRPr="00E810AA">
        <w:rPr>
          <w:rFonts w:ascii="Arial" w:hAnsi="Arial" w:cs="Arial"/>
        </w:rPr>
        <w:t xml:space="preserve"> which include</w:t>
      </w:r>
      <w:r w:rsidR="008E0EAC" w:rsidRPr="00E810AA">
        <w:rPr>
          <w:rFonts w:ascii="Arial" w:hAnsi="Arial" w:cs="Arial"/>
        </w:rPr>
        <w:t xml:space="preserve"> the Council Tax data, </w:t>
      </w:r>
      <w:r w:rsidR="00034BAC" w:rsidRPr="00E810AA">
        <w:rPr>
          <w:rFonts w:ascii="Arial" w:hAnsi="Arial" w:cs="Arial"/>
        </w:rPr>
        <w:t xml:space="preserve">property </w:t>
      </w:r>
      <w:r w:rsidR="008E0EAC" w:rsidRPr="00E810AA">
        <w:rPr>
          <w:rFonts w:ascii="Arial" w:hAnsi="Arial" w:cs="Arial"/>
        </w:rPr>
        <w:t>inspection records of the Housing Standards Team, existing large</w:t>
      </w:r>
      <w:r w:rsidR="00C22DF2" w:rsidRPr="00E810AA">
        <w:rPr>
          <w:rFonts w:ascii="Arial" w:hAnsi="Arial" w:cs="Arial"/>
        </w:rPr>
        <w:t xml:space="preserve"> HMO</w:t>
      </w:r>
      <w:r w:rsidR="005F6DCD">
        <w:rPr>
          <w:rFonts w:ascii="Arial" w:hAnsi="Arial" w:cs="Arial"/>
        </w:rPr>
        <w:t>s</w:t>
      </w:r>
      <w:r w:rsidR="00C22DF2" w:rsidRPr="00E810AA">
        <w:rPr>
          <w:rFonts w:ascii="Arial" w:hAnsi="Arial" w:cs="Arial"/>
        </w:rPr>
        <w:t xml:space="preserve"> under mandatory licensing,</w:t>
      </w:r>
      <w:r w:rsidR="008E0EAC" w:rsidRPr="00E810AA">
        <w:rPr>
          <w:rFonts w:ascii="Arial" w:hAnsi="Arial" w:cs="Arial"/>
        </w:rPr>
        <w:t xml:space="preserve"> and the records of specialist accommodation held by </w:t>
      </w:r>
      <w:r w:rsidR="00C22DF2" w:rsidRPr="00E810AA">
        <w:rPr>
          <w:rFonts w:ascii="Arial" w:hAnsi="Arial" w:cs="Arial"/>
        </w:rPr>
        <w:t>Government partnerships</w:t>
      </w:r>
      <w:r w:rsidR="0090457D" w:rsidRPr="00E810AA">
        <w:rPr>
          <w:rFonts w:ascii="Arial" w:hAnsi="Arial" w:cs="Arial"/>
        </w:rPr>
        <w:t xml:space="preserve">, etc. </w:t>
      </w:r>
      <w:r>
        <w:rPr>
          <w:rFonts w:ascii="Arial" w:hAnsi="Arial" w:cs="Arial"/>
        </w:rPr>
        <w:t xml:space="preserve"> </w:t>
      </w:r>
      <w:r w:rsidR="0090457D" w:rsidRPr="00E810AA">
        <w:rPr>
          <w:rFonts w:ascii="Arial" w:hAnsi="Arial" w:cs="Arial"/>
        </w:rPr>
        <w:t>Th</w:t>
      </w:r>
      <w:r w:rsidR="005F6DCD">
        <w:rPr>
          <w:rFonts w:ascii="Arial" w:hAnsi="Arial" w:cs="Arial"/>
        </w:rPr>
        <w:t>is</w:t>
      </w:r>
      <w:r w:rsidR="0090457D" w:rsidRPr="00E810AA">
        <w:rPr>
          <w:rFonts w:ascii="Arial" w:hAnsi="Arial" w:cs="Arial"/>
        </w:rPr>
        <w:t xml:space="preserve"> data</w:t>
      </w:r>
      <w:r w:rsidR="008E0EAC" w:rsidRPr="00E810AA">
        <w:rPr>
          <w:rFonts w:ascii="Arial" w:hAnsi="Arial" w:cs="Arial"/>
        </w:rPr>
        <w:t xml:space="preserve"> </w:t>
      </w:r>
      <w:r w:rsidR="0090457D" w:rsidRPr="00E810AA">
        <w:rPr>
          <w:rFonts w:ascii="Arial" w:hAnsi="Arial" w:cs="Arial"/>
        </w:rPr>
        <w:t>has</w:t>
      </w:r>
      <w:r w:rsidR="00B92F3E" w:rsidRPr="00E810AA">
        <w:rPr>
          <w:rFonts w:ascii="Arial" w:hAnsi="Arial" w:cs="Arial"/>
        </w:rPr>
        <w:t xml:space="preserve"> been </w:t>
      </w:r>
      <w:r w:rsidR="0090457D" w:rsidRPr="00E810AA">
        <w:rPr>
          <w:rFonts w:ascii="Arial" w:hAnsi="Arial" w:cs="Arial"/>
        </w:rPr>
        <w:t>analysed</w:t>
      </w:r>
      <w:r w:rsidR="00B92F3E" w:rsidRPr="00E810AA">
        <w:rPr>
          <w:rFonts w:ascii="Arial" w:hAnsi="Arial" w:cs="Arial"/>
        </w:rPr>
        <w:t xml:space="preserve"> to </w:t>
      </w:r>
      <w:r w:rsidR="0090457D" w:rsidRPr="00E810AA">
        <w:rPr>
          <w:rFonts w:ascii="Arial" w:hAnsi="Arial" w:cs="Arial"/>
        </w:rPr>
        <w:t>establish the understanding o</w:t>
      </w:r>
      <w:r w:rsidR="005F6DCD">
        <w:rPr>
          <w:rFonts w:ascii="Arial" w:hAnsi="Arial" w:cs="Arial"/>
        </w:rPr>
        <w:t xml:space="preserve">f the </w:t>
      </w:r>
      <w:r w:rsidR="0090457D" w:rsidRPr="00E810AA">
        <w:rPr>
          <w:rFonts w:ascii="Arial" w:hAnsi="Arial" w:cs="Arial"/>
        </w:rPr>
        <w:t>number</w:t>
      </w:r>
      <w:r w:rsidR="00B92F3E" w:rsidRPr="00E810AA">
        <w:rPr>
          <w:rFonts w:ascii="Arial" w:hAnsi="Arial" w:cs="Arial"/>
        </w:rPr>
        <w:t>, distribution and density of the kno</w:t>
      </w:r>
      <w:r w:rsidR="008E0EAC" w:rsidRPr="00E810AA">
        <w:rPr>
          <w:rFonts w:ascii="Arial" w:hAnsi="Arial" w:cs="Arial"/>
        </w:rPr>
        <w:t>wn existing HMOs in the Borough.</w:t>
      </w:r>
      <w:r>
        <w:rPr>
          <w:rFonts w:ascii="Arial" w:hAnsi="Arial" w:cs="Arial"/>
        </w:rPr>
        <w:t xml:space="preserve"> </w:t>
      </w:r>
      <w:r w:rsidR="008E0EAC" w:rsidRPr="00E810AA">
        <w:rPr>
          <w:rFonts w:ascii="Arial" w:hAnsi="Arial" w:cs="Arial"/>
        </w:rPr>
        <w:t xml:space="preserve"> </w:t>
      </w:r>
      <w:r w:rsidR="00B92F3E" w:rsidRPr="00E810AA">
        <w:rPr>
          <w:rFonts w:ascii="Arial" w:hAnsi="Arial" w:cs="Arial"/>
        </w:rPr>
        <w:t xml:space="preserve">It is expected that there will be some overlap between the sources </w:t>
      </w:r>
      <w:r w:rsidR="002D60E8" w:rsidRPr="00E810AA">
        <w:rPr>
          <w:rFonts w:ascii="Arial" w:hAnsi="Arial" w:cs="Arial"/>
        </w:rPr>
        <w:t>of data, and they have been</w:t>
      </w:r>
      <w:r w:rsidR="00B92F3E" w:rsidRPr="00E810AA">
        <w:rPr>
          <w:rFonts w:ascii="Arial" w:hAnsi="Arial" w:cs="Arial"/>
        </w:rPr>
        <w:t xml:space="preserve"> filtered to avoid double-counting prior to the analysis taking place.</w:t>
      </w:r>
      <w:r>
        <w:rPr>
          <w:rFonts w:ascii="Arial" w:hAnsi="Arial" w:cs="Arial"/>
        </w:rPr>
        <w:t xml:space="preserve">  </w:t>
      </w:r>
    </w:p>
    <w:p w14:paraId="0C51376D" w14:textId="77777777" w:rsidR="001F7B54" w:rsidRPr="00673209" w:rsidRDefault="001F7B54" w:rsidP="001F7B54">
      <w:pPr>
        <w:spacing w:after="0" w:line="300" w:lineRule="atLeast"/>
        <w:rPr>
          <w:rFonts w:ascii="Arial" w:hAnsi="Arial" w:cs="Arial"/>
        </w:rPr>
      </w:pPr>
    </w:p>
    <w:p w14:paraId="22C7FF21" w14:textId="77777777" w:rsidR="008E6FE3" w:rsidRPr="00673209" w:rsidRDefault="00EB7092" w:rsidP="001F7B54">
      <w:pPr>
        <w:pStyle w:val="ListParagraph"/>
        <w:numPr>
          <w:ilvl w:val="0"/>
          <w:numId w:val="2"/>
        </w:numPr>
        <w:spacing w:after="0" w:line="300" w:lineRule="atLeast"/>
        <w:ind w:left="1418" w:hanging="567"/>
        <w:contextualSpacing w:val="0"/>
        <w:rPr>
          <w:rFonts w:ascii="Arial" w:hAnsi="Arial" w:cs="Arial"/>
          <w:b/>
        </w:rPr>
      </w:pPr>
      <w:r w:rsidRPr="00673209">
        <w:rPr>
          <w:rFonts w:ascii="Arial" w:hAnsi="Arial" w:cs="Arial"/>
          <w:b/>
        </w:rPr>
        <w:t xml:space="preserve">Data from the Housing Standards </w:t>
      </w:r>
    </w:p>
    <w:p w14:paraId="6D93671B" w14:textId="77777777" w:rsidR="001F7B54" w:rsidRPr="00673209" w:rsidRDefault="001F7B54" w:rsidP="001F7B54">
      <w:pPr>
        <w:pStyle w:val="ListParagraph"/>
        <w:spacing w:after="0" w:line="300" w:lineRule="atLeast"/>
        <w:ind w:left="993"/>
        <w:contextualSpacing w:val="0"/>
        <w:rPr>
          <w:rFonts w:ascii="Arial" w:hAnsi="Arial" w:cs="Arial"/>
        </w:rPr>
      </w:pPr>
    </w:p>
    <w:p w14:paraId="4AE77A02" w14:textId="73CD303E" w:rsidR="00BE68D0" w:rsidRPr="00673209" w:rsidRDefault="00985D98" w:rsidP="00985D98">
      <w:pPr>
        <w:spacing w:after="0" w:line="300" w:lineRule="atLeast"/>
        <w:ind w:left="709" w:hanging="709"/>
        <w:rPr>
          <w:rFonts w:ascii="Arial" w:hAnsi="Arial" w:cs="Arial"/>
        </w:rPr>
      </w:pPr>
      <w:r w:rsidRPr="00673209">
        <w:rPr>
          <w:rFonts w:ascii="Arial" w:hAnsi="Arial" w:cs="Arial"/>
        </w:rPr>
        <w:t>5.5</w:t>
      </w:r>
      <w:r w:rsidRPr="00673209">
        <w:rPr>
          <w:rFonts w:ascii="Arial" w:hAnsi="Arial" w:cs="Arial"/>
        </w:rPr>
        <w:tab/>
      </w:r>
      <w:r w:rsidR="005B24FA" w:rsidRPr="00673209">
        <w:rPr>
          <w:rFonts w:ascii="Arial" w:hAnsi="Arial" w:cs="Arial"/>
        </w:rPr>
        <w:t xml:space="preserve">Under Part 3 of the Housing Act </w:t>
      </w:r>
      <w:r w:rsidR="00D11A91" w:rsidRPr="00673209">
        <w:rPr>
          <w:rFonts w:ascii="Arial" w:hAnsi="Arial" w:cs="Arial"/>
        </w:rPr>
        <w:t>(as amended), from October 2018</w:t>
      </w:r>
      <w:r w:rsidR="005B24FA" w:rsidRPr="00673209">
        <w:rPr>
          <w:rFonts w:ascii="Arial" w:hAnsi="Arial" w:cs="Arial"/>
        </w:rPr>
        <w:t xml:space="preserve"> mandatory licensing applies to all rented properties </w:t>
      </w:r>
      <w:r w:rsidR="00555DC7" w:rsidRPr="00673209">
        <w:rPr>
          <w:rFonts w:ascii="Arial" w:hAnsi="Arial" w:cs="Arial"/>
        </w:rPr>
        <w:t xml:space="preserve">occupied by 5 or more unrelated people </w:t>
      </w:r>
      <w:r w:rsidR="00427AFA" w:rsidRPr="00673209">
        <w:rPr>
          <w:rFonts w:ascii="Arial" w:hAnsi="Arial" w:cs="Arial"/>
        </w:rPr>
        <w:t>with shared facilities</w:t>
      </w:r>
      <w:r w:rsidR="005F6DCD" w:rsidRPr="00673209">
        <w:rPr>
          <w:rFonts w:ascii="Arial" w:hAnsi="Arial" w:cs="Arial"/>
        </w:rPr>
        <w:t xml:space="preserve">. </w:t>
      </w:r>
      <w:r w:rsidR="00555DC7" w:rsidRPr="00673209">
        <w:rPr>
          <w:rFonts w:ascii="Arial" w:hAnsi="Arial" w:cs="Arial"/>
        </w:rPr>
        <w:t>Council</w:t>
      </w:r>
      <w:r w:rsidRPr="00673209">
        <w:rPr>
          <w:rFonts w:ascii="Arial" w:hAnsi="Arial" w:cs="Arial"/>
        </w:rPr>
        <w:t xml:space="preserve">s can also use </w:t>
      </w:r>
      <w:r w:rsidR="00555DC7" w:rsidRPr="00673209">
        <w:rPr>
          <w:rFonts w:ascii="Arial" w:hAnsi="Arial" w:cs="Arial"/>
        </w:rPr>
        <w:t>powers under the Housing Act 2004 Part 3, to brin</w:t>
      </w:r>
      <w:r w:rsidR="00D11A91" w:rsidRPr="00673209">
        <w:rPr>
          <w:rFonts w:ascii="Arial" w:hAnsi="Arial" w:cs="Arial"/>
        </w:rPr>
        <w:t xml:space="preserve">g in Selective Licensing Scheme, </w:t>
      </w:r>
      <w:r w:rsidR="00555DC7" w:rsidRPr="00673209">
        <w:rPr>
          <w:rFonts w:ascii="Arial" w:hAnsi="Arial" w:cs="Arial"/>
        </w:rPr>
        <w:t>requiring owners of all rented properties (</w:t>
      </w:r>
      <w:r w:rsidR="00344361" w:rsidRPr="00673209">
        <w:rPr>
          <w:rFonts w:ascii="Arial" w:hAnsi="Arial" w:cs="Arial"/>
        </w:rPr>
        <w:t>not just HMOs) to apply for a selective licence.</w:t>
      </w:r>
      <w:r w:rsidRPr="00673209">
        <w:rPr>
          <w:rFonts w:ascii="Arial" w:hAnsi="Arial" w:cs="Arial"/>
        </w:rPr>
        <w:t xml:space="preserve"> </w:t>
      </w:r>
      <w:r w:rsidR="00344361" w:rsidRPr="00673209">
        <w:rPr>
          <w:rFonts w:ascii="Arial" w:hAnsi="Arial" w:cs="Arial"/>
        </w:rPr>
        <w:t xml:space="preserve"> Under Part </w:t>
      </w:r>
      <w:r w:rsidR="00B476F0" w:rsidRPr="00673209">
        <w:rPr>
          <w:rFonts w:ascii="Arial" w:hAnsi="Arial" w:cs="Arial"/>
        </w:rPr>
        <w:t xml:space="preserve">2 of the Housing Act, a </w:t>
      </w:r>
      <w:r w:rsidR="00B476F0" w:rsidRPr="00673209">
        <w:rPr>
          <w:rFonts w:ascii="Arial" w:hAnsi="Arial" w:cs="Arial"/>
        </w:rPr>
        <w:lastRenderedPageBreak/>
        <w:t>Co</w:t>
      </w:r>
      <w:r w:rsidR="00C75C49" w:rsidRPr="00673209">
        <w:rPr>
          <w:rFonts w:ascii="Arial" w:hAnsi="Arial" w:cs="Arial"/>
        </w:rPr>
        <w:t>uncil is also able to designate</w:t>
      </w:r>
      <w:r w:rsidR="00B476F0" w:rsidRPr="00673209">
        <w:rPr>
          <w:rFonts w:ascii="Arial" w:hAnsi="Arial" w:cs="Arial"/>
        </w:rPr>
        <w:t xml:space="preserve"> an ‘</w:t>
      </w:r>
      <w:r w:rsidR="005F6DCD" w:rsidRPr="00673209">
        <w:rPr>
          <w:rFonts w:ascii="Arial" w:hAnsi="Arial" w:cs="Arial"/>
        </w:rPr>
        <w:t>a</w:t>
      </w:r>
      <w:r w:rsidR="00B476F0" w:rsidRPr="00673209">
        <w:rPr>
          <w:rFonts w:ascii="Arial" w:hAnsi="Arial" w:cs="Arial"/>
        </w:rPr>
        <w:t>dditional HMO licensing scheme’ which requires owners of all smaller HMOs (</w:t>
      </w:r>
      <w:r w:rsidR="006D675C" w:rsidRPr="00673209">
        <w:rPr>
          <w:rFonts w:ascii="Arial" w:hAnsi="Arial" w:cs="Arial"/>
        </w:rPr>
        <w:t>3- and 4-bedroom</w:t>
      </w:r>
      <w:r w:rsidR="00B476F0" w:rsidRPr="00673209">
        <w:rPr>
          <w:rFonts w:ascii="Arial" w:hAnsi="Arial" w:cs="Arial"/>
        </w:rPr>
        <w:t xml:space="preserve"> HMOs) within the designated area to be licenced as HMOs by the authority, just like the larger (5 bedroom or more) mandatory HMO licenced properties.  </w:t>
      </w:r>
    </w:p>
    <w:p w14:paraId="2D407AAA" w14:textId="77777777" w:rsidR="001F7B54" w:rsidRPr="00673209" w:rsidRDefault="001F7B54" w:rsidP="001F7B54">
      <w:pPr>
        <w:pStyle w:val="ListParagraph"/>
        <w:spacing w:after="0" w:line="300" w:lineRule="atLeast"/>
        <w:contextualSpacing w:val="0"/>
        <w:rPr>
          <w:rFonts w:ascii="Arial" w:hAnsi="Arial" w:cs="Arial"/>
        </w:rPr>
      </w:pPr>
    </w:p>
    <w:p w14:paraId="1DAEA0BB" w14:textId="21C0B170" w:rsidR="001F7B54" w:rsidRPr="00673209" w:rsidRDefault="00985D98" w:rsidP="00427AFA">
      <w:pPr>
        <w:spacing w:after="0" w:line="300" w:lineRule="atLeast"/>
        <w:ind w:left="709" w:hanging="709"/>
        <w:rPr>
          <w:rFonts w:ascii="Arial" w:hAnsi="Arial" w:cs="Arial"/>
        </w:rPr>
      </w:pPr>
      <w:r w:rsidRPr="00673209">
        <w:rPr>
          <w:rFonts w:ascii="Arial" w:hAnsi="Arial" w:cs="Arial"/>
        </w:rPr>
        <w:t>5.6</w:t>
      </w:r>
      <w:r w:rsidRPr="00673209">
        <w:rPr>
          <w:rFonts w:ascii="Arial" w:hAnsi="Arial" w:cs="Arial"/>
        </w:rPr>
        <w:tab/>
      </w:r>
      <w:r w:rsidR="00142085" w:rsidRPr="00673209">
        <w:rPr>
          <w:rFonts w:ascii="Arial" w:hAnsi="Arial" w:cs="Arial"/>
        </w:rPr>
        <w:t>Hyndburn Borough Council introduced a Selective Licencing Scheme for private sector renti</w:t>
      </w:r>
      <w:r w:rsidR="00427AFA" w:rsidRPr="00673209">
        <w:rPr>
          <w:rFonts w:ascii="Arial" w:hAnsi="Arial" w:cs="Arial"/>
        </w:rPr>
        <w:t>ng properties between March 2013</w:t>
      </w:r>
      <w:r w:rsidR="00142085" w:rsidRPr="00673209">
        <w:rPr>
          <w:rFonts w:ascii="Arial" w:hAnsi="Arial" w:cs="Arial"/>
        </w:rPr>
        <w:t xml:space="preserve"> and March 2023, with the intention of addressing the impact of </w:t>
      </w:r>
      <w:r w:rsidR="006D675C" w:rsidRPr="00673209">
        <w:rPr>
          <w:rFonts w:ascii="Arial" w:hAnsi="Arial" w:cs="Arial"/>
        </w:rPr>
        <w:t>poor-quality</w:t>
      </w:r>
      <w:r w:rsidR="00142085" w:rsidRPr="00673209">
        <w:rPr>
          <w:rFonts w:ascii="Arial" w:hAnsi="Arial" w:cs="Arial"/>
        </w:rPr>
        <w:t xml:space="preserve"> private landlords and anti-social tenants</w:t>
      </w:r>
      <w:r w:rsidR="00C145BF" w:rsidRPr="00673209">
        <w:rPr>
          <w:rFonts w:ascii="Arial" w:hAnsi="Arial" w:cs="Arial"/>
        </w:rPr>
        <w:t xml:space="preserve">. </w:t>
      </w:r>
      <w:r w:rsidR="00AD0B07" w:rsidRPr="00673209">
        <w:rPr>
          <w:rFonts w:ascii="Arial" w:hAnsi="Arial" w:cs="Arial"/>
        </w:rPr>
        <w:t>It is understood that the Selective Licencing Scheme in Hyndburn has collected the records of HMOs within t</w:t>
      </w:r>
      <w:r w:rsidR="00427AFA" w:rsidRPr="00673209">
        <w:rPr>
          <w:rFonts w:ascii="Arial" w:hAnsi="Arial" w:cs="Arial"/>
        </w:rPr>
        <w:t>he designated areas between 2013</w:t>
      </w:r>
      <w:r w:rsidR="00AD0B07" w:rsidRPr="00673209">
        <w:rPr>
          <w:rFonts w:ascii="Arial" w:hAnsi="Arial" w:cs="Arial"/>
        </w:rPr>
        <w:t xml:space="preserve"> and 2023. </w:t>
      </w:r>
    </w:p>
    <w:p w14:paraId="4F58D8A9" w14:textId="77777777" w:rsidR="00B01217" w:rsidRPr="00673209" w:rsidRDefault="00B01217" w:rsidP="00E810AA">
      <w:pPr>
        <w:pStyle w:val="ListParagraph"/>
        <w:spacing w:after="0" w:line="300" w:lineRule="atLeast"/>
        <w:ind w:left="1134"/>
        <w:rPr>
          <w:rFonts w:ascii="Arial" w:hAnsi="Arial" w:cs="Arial"/>
        </w:rPr>
      </w:pPr>
    </w:p>
    <w:p w14:paraId="1E7CA41D" w14:textId="77777777" w:rsidR="00EB7092" w:rsidRPr="00673209" w:rsidRDefault="00EB7092" w:rsidP="001F7B54">
      <w:pPr>
        <w:pStyle w:val="ListParagraph"/>
        <w:numPr>
          <w:ilvl w:val="0"/>
          <w:numId w:val="2"/>
        </w:numPr>
        <w:spacing w:after="0" w:line="300" w:lineRule="atLeast"/>
        <w:ind w:left="1418" w:hanging="567"/>
        <w:contextualSpacing w:val="0"/>
        <w:rPr>
          <w:rFonts w:ascii="Arial" w:hAnsi="Arial" w:cs="Arial"/>
          <w:b/>
        </w:rPr>
      </w:pPr>
      <w:r w:rsidRPr="00673209">
        <w:rPr>
          <w:rFonts w:ascii="Arial" w:hAnsi="Arial" w:cs="Arial"/>
          <w:b/>
        </w:rPr>
        <w:t>Council Tax Data</w:t>
      </w:r>
      <w:r w:rsidR="00985D98" w:rsidRPr="00673209">
        <w:rPr>
          <w:rFonts w:ascii="Arial" w:hAnsi="Arial" w:cs="Arial"/>
          <w:b/>
        </w:rPr>
        <w:t xml:space="preserve"> </w:t>
      </w:r>
    </w:p>
    <w:p w14:paraId="2EB0A269" w14:textId="77777777" w:rsidR="001F7B54" w:rsidRPr="00673209" w:rsidRDefault="001F7B54" w:rsidP="001F7B54">
      <w:pPr>
        <w:pStyle w:val="ListParagraph"/>
        <w:spacing w:after="0" w:line="300" w:lineRule="atLeast"/>
        <w:ind w:left="1134"/>
        <w:contextualSpacing w:val="0"/>
        <w:rPr>
          <w:rFonts w:ascii="Arial" w:hAnsi="Arial" w:cs="Arial"/>
        </w:rPr>
      </w:pPr>
    </w:p>
    <w:p w14:paraId="4953609F" w14:textId="72D11A84" w:rsidR="00EB7092" w:rsidRPr="00673209" w:rsidRDefault="00C5749D" w:rsidP="00985D98">
      <w:pPr>
        <w:spacing w:after="0" w:line="300" w:lineRule="atLeast"/>
        <w:ind w:left="709" w:hanging="709"/>
        <w:rPr>
          <w:rFonts w:ascii="Arial" w:hAnsi="Arial" w:cs="Arial"/>
        </w:rPr>
      </w:pPr>
      <w:r w:rsidRPr="00673209">
        <w:rPr>
          <w:rFonts w:ascii="Arial" w:hAnsi="Arial" w:cs="Arial"/>
        </w:rPr>
        <w:t>5.8</w:t>
      </w:r>
      <w:r w:rsidR="00985D98" w:rsidRPr="00673209">
        <w:rPr>
          <w:rFonts w:ascii="Arial" w:hAnsi="Arial" w:cs="Arial"/>
        </w:rPr>
        <w:tab/>
      </w:r>
      <w:r w:rsidR="00034BAC" w:rsidRPr="00673209">
        <w:rPr>
          <w:rFonts w:ascii="Arial" w:hAnsi="Arial" w:cs="Arial"/>
        </w:rPr>
        <w:t>Revenue</w:t>
      </w:r>
      <w:r w:rsidR="007C1655" w:rsidRPr="00673209">
        <w:rPr>
          <w:rFonts w:ascii="Arial" w:hAnsi="Arial" w:cs="Arial"/>
        </w:rPr>
        <w:t>s and Benefits data can be used to indica</w:t>
      </w:r>
      <w:r w:rsidR="00034BAC" w:rsidRPr="00673209">
        <w:rPr>
          <w:rFonts w:ascii="Arial" w:hAnsi="Arial" w:cs="Arial"/>
        </w:rPr>
        <w:t>te properties occupied solely by</w:t>
      </w:r>
      <w:r w:rsidR="007C1655" w:rsidRPr="00673209">
        <w:rPr>
          <w:rFonts w:ascii="Arial" w:hAnsi="Arial" w:cs="Arial"/>
        </w:rPr>
        <w:t xml:space="preserve"> students as such households are</w:t>
      </w:r>
      <w:r w:rsidR="00034BAC" w:rsidRPr="00673209">
        <w:rPr>
          <w:rFonts w:ascii="Arial" w:hAnsi="Arial" w:cs="Arial"/>
        </w:rPr>
        <w:t xml:space="preserve"> exempt from paying Council Tax, or the HMOs with Council Tax disaggregation prior to December 2023. </w:t>
      </w:r>
      <w:r w:rsidR="00673209" w:rsidRPr="00673209">
        <w:rPr>
          <w:rFonts w:ascii="Arial" w:hAnsi="Arial" w:cs="Arial"/>
        </w:rPr>
        <w:t xml:space="preserve"> P</w:t>
      </w:r>
      <w:r w:rsidR="007C1655" w:rsidRPr="00673209">
        <w:rPr>
          <w:rFonts w:ascii="Arial" w:hAnsi="Arial" w:cs="Arial"/>
        </w:rPr>
        <w:t xml:space="preserve">roperties inhabited by three or more residents </w:t>
      </w:r>
      <w:r w:rsidR="00034BAC" w:rsidRPr="00673209">
        <w:rPr>
          <w:rFonts w:ascii="Arial" w:hAnsi="Arial" w:cs="Arial"/>
        </w:rPr>
        <w:t>with Council Tax Disaggregation</w:t>
      </w:r>
      <w:r w:rsidR="007C1655" w:rsidRPr="00673209">
        <w:rPr>
          <w:rFonts w:ascii="Arial" w:hAnsi="Arial" w:cs="Arial"/>
        </w:rPr>
        <w:t xml:space="preserve"> </w:t>
      </w:r>
      <w:r w:rsidR="00034BAC" w:rsidRPr="00673209">
        <w:rPr>
          <w:rFonts w:ascii="Arial" w:hAnsi="Arial" w:cs="Arial"/>
        </w:rPr>
        <w:t xml:space="preserve">often </w:t>
      </w:r>
      <w:r w:rsidR="007C1655" w:rsidRPr="00673209">
        <w:rPr>
          <w:rFonts w:ascii="Arial" w:hAnsi="Arial" w:cs="Arial"/>
        </w:rPr>
        <w:t>indicate</w:t>
      </w:r>
      <w:r w:rsidR="00673209" w:rsidRPr="00673209">
        <w:rPr>
          <w:rFonts w:ascii="Arial" w:hAnsi="Arial" w:cs="Arial"/>
        </w:rPr>
        <w:t>s</w:t>
      </w:r>
      <w:r w:rsidR="00034BAC" w:rsidRPr="00673209">
        <w:rPr>
          <w:rFonts w:ascii="Arial" w:hAnsi="Arial" w:cs="Arial"/>
        </w:rPr>
        <w:t xml:space="preserve"> that they </w:t>
      </w:r>
      <w:r w:rsidR="00673209" w:rsidRPr="00673209">
        <w:rPr>
          <w:rFonts w:ascii="Arial" w:hAnsi="Arial" w:cs="Arial"/>
        </w:rPr>
        <w:t>are</w:t>
      </w:r>
      <w:r w:rsidR="007C1655" w:rsidRPr="00673209">
        <w:rPr>
          <w:rFonts w:ascii="Arial" w:hAnsi="Arial" w:cs="Arial"/>
        </w:rPr>
        <w:t xml:space="preserve"> likely</w:t>
      </w:r>
      <w:r w:rsidR="00034BAC" w:rsidRPr="00673209">
        <w:rPr>
          <w:rFonts w:ascii="Arial" w:hAnsi="Arial" w:cs="Arial"/>
        </w:rPr>
        <w:t xml:space="preserve"> to be</w:t>
      </w:r>
      <w:r w:rsidR="007C1655" w:rsidRPr="00673209">
        <w:rPr>
          <w:rFonts w:ascii="Arial" w:hAnsi="Arial" w:cs="Arial"/>
        </w:rPr>
        <w:t xml:space="preserve"> HMOs, however it is not possible to verify this without </w:t>
      </w:r>
      <w:r w:rsidR="00985D98" w:rsidRPr="00673209">
        <w:rPr>
          <w:rFonts w:ascii="Arial" w:hAnsi="Arial" w:cs="Arial"/>
        </w:rPr>
        <w:t>more detailed</w:t>
      </w:r>
      <w:r w:rsidR="007C1655" w:rsidRPr="00673209">
        <w:rPr>
          <w:rFonts w:ascii="Arial" w:hAnsi="Arial" w:cs="Arial"/>
        </w:rPr>
        <w:t xml:space="preserve"> interrogation of the data and address points. </w:t>
      </w:r>
      <w:r w:rsidR="00985D98" w:rsidRPr="00673209">
        <w:rPr>
          <w:rFonts w:ascii="Arial" w:hAnsi="Arial" w:cs="Arial"/>
        </w:rPr>
        <w:t xml:space="preserve"> </w:t>
      </w:r>
    </w:p>
    <w:p w14:paraId="1EAEA2BC" w14:textId="77777777" w:rsidR="001F7B54" w:rsidRPr="00673209" w:rsidRDefault="001F7B54" w:rsidP="001F7B54">
      <w:pPr>
        <w:pStyle w:val="ListParagraph"/>
        <w:spacing w:after="0" w:line="300" w:lineRule="atLeast"/>
        <w:ind w:left="709"/>
        <w:contextualSpacing w:val="0"/>
        <w:rPr>
          <w:rFonts w:ascii="Arial" w:hAnsi="Arial" w:cs="Arial"/>
        </w:rPr>
      </w:pPr>
    </w:p>
    <w:p w14:paraId="2CA5BA26" w14:textId="6BF09D29" w:rsidR="00034BAC" w:rsidRPr="00673209" w:rsidRDefault="00C5749D" w:rsidP="00985D98">
      <w:pPr>
        <w:spacing w:after="0" w:line="300" w:lineRule="atLeast"/>
        <w:ind w:left="709" w:hanging="709"/>
        <w:rPr>
          <w:rFonts w:ascii="Arial" w:hAnsi="Arial" w:cs="Arial"/>
        </w:rPr>
      </w:pPr>
      <w:r w:rsidRPr="00673209">
        <w:rPr>
          <w:rFonts w:ascii="Arial" w:hAnsi="Arial" w:cs="Arial"/>
        </w:rPr>
        <w:t>5.9</w:t>
      </w:r>
      <w:r w:rsidR="00985D98" w:rsidRPr="00673209">
        <w:rPr>
          <w:rFonts w:ascii="Arial" w:hAnsi="Arial" w:cs="Arial"/>
        </w:rPr>
        <w:tab/>
      </w:r>
      <w:r w:rsidR="00034BAC" w:rsidRPr="00673209">
        <w:rPr>
          <w:rFonts w:ascii="Arial" w:hAnsi="Arial" w:cs="Arial"/>
        </w:rPr>
        <w:t xml:space="preserve">Council Tax records provided </w:t>
      </w:r>
      <w:r w:rsidR="00673209" w:rsidRPr="00673209">
        <w:rPr>
          <w:rFonts w:ascii="Arial" w:hAnsi="Arial" w:cs="Arial"/>
        </w:rPr>
        <w:t xml:space="preserve">by </w:t>
      </w:r>
      <w:r w:rsidR="00034BAC" w:rsidRPr="00673209">
        <w:rPr>
          <w:rFonts w:ascii="Arial" w:hAnsi="Arial" w:cs="Arial"/>
        </w:rPr>
        <w:t>the Council</w:t>
      </w:r>
      <w:r w:rsidR="00673209" w:rsidRPr="00673209">
        <w:rPr>
          <w:rFonts w:ascii="Arial" w:hAnsi="Arial" w:cs="Arial"/>
        </w:rPr>
        <w:t>’</w:t>
      </w:r>
      <w:r w:rsidR="00034BAC" w:rsidRPr="00673209">
        <w:rPr>
          <w:rFonts w:ascii="Arial" w:hAnsi="Arial" w:cs="Arial"/>
        </w:rPr>
        <w:t>s R</w:t>
      </w:r>
      <w:r w:rsidR="00985D98" w:rsidRPr="00673209">
        <w:rPr>
          <w:rFonts w:ascii="Arial" w:hAnsi="Arial" w:cs="Arial"/>
        </w:rPr>
        <w:t>evenue Team in October 2024 indicate</w:t>
      </w:r>
      <w:r w:rsidR="00034BAC" w:rsidRPr="00673209">
        <w:rPr>
          <w:rFonts w:ascii="Arial" w:hAnsi="Arial" w:cs="Arial"/>
        </w:rPr>
        <w:t xml:space="preserve"> that there are 176 properties in the Borough that are recorded as HMOs. However, it must be highlighted that, on 01 December 2023, the Council Tax (Chargeable Dwellings and Liability for Owners) (Amendment) England Regulations </w:t>
      </w:r>
      <w:r w:rsidR="00985D98" w:rsidRPr="00673209">
        <w:rPr>
          <w:rFonts w:ascii="Arial" w:hAnsi="Arial" w:cs="Arial"/>
        </w:rPr>
        <w:t>2023 came into force, which</w:t>
      </w:r>
      <w:r w:rsidR="00034BAC" w:rsidRPr="00673209">
        <w:rPr>
          <w:rFonts w:ascii="Arial" w:hAnsi="Arial" w:cs="Arial"/>
        </w:rPr>
        <w:t xml:space="preserve"> changed the way in which Council Tax is calculated for HMOs in England and Wales.  Prior to the regulation taking effect, a HMO could </w:t>
      </w:r>
      <w:r w:rsidR="00985D98" w:rsidRPr="00673209">
        <w:rPr>
          <w:rFonts w:ascii="Arial" w:hAnsi="Arial" w:cs="Arial"/>
        </w:rPr>
        <w:t xml:space="preserve">be </w:t>
      </w:r>
      <w:r w:rsidR="00034BAC" w:rsidRPr="00673209">
        <w:rPr>
          <w:rFonts w:ascii="Arial" w:hAnsi="Arial" w:cs="Arial"/>
        </w:rPr>
        <w:t xml:space="preserve">split into single rooms by the local authority for the purposes of calculating council tax through </w:t>
      </w:r>
      <w:r w:rsidR="00673209" w:rsidRPr="00673209">
        <w:rPr>
          <w:rFonts w:ascii="Arial" w:hAnsi="Arial" w:cs="Arial"/>
        </w:rPr>
        <w:t xml:space="preserve">the </w:t>
      </w:r>
      <w:r w:rsidR="00034BAC" w:rsidRPr="00673209">
        <w:rPr>
          <w:rFonts w:ascii="Arial" w:hAnsi="Arial" w:cs="Arial"/>
        </w:rPr>
        <w:t>disaggregation process, which means each separate room in a HMO could be liable for paying Council Tax.</w:t>
      </w:r>
      <w:r w:rsidR="00985D98" w:rsidRPr="00673209">
        <w:rPr>
          <w:rFonts w:ascii="Arial" w:hAnsi="Arial" w:cs="Arial"/>
        </w:rPr>
        <w:t xml:space="preserve"> </w:t>
      </w:r>
      <w:r w:rsidR="00034BAC" w:rsidRPr="00673209">
        <w:rPr>
          <w:rFonts w:ascii="Arial" w:hAnsi="Arial" w:cs="Arial"/>
        </w:rPr>
        <w:t xml:space="preserve"> However, from 01 December 2023, a HMO is considered as a single dwelling for the purposes of Council Tax, and the owner of an HMO is liabl</w:t>
      </w:r>
      <w:r w:rsidR="00985D98" w:rsidRPr="00673209">
        <w:rPr>
          <w:rFonts w:ascii="Arial" w:hAnsi="Arial" w:cs="Arial"/>
        </w:rPr>
        <w:t xml:space="preserve">e for paying the Council Tax.  </w:t>
      </w:r>
    </w:p>
    <w:p w14:paraId="6CE311F4" w14:textId="77777777" w:rsidR="001F7B54" w:rsidRPr="00673209" w:rsidRDefault="001F7B54" w:rsidP="001F7B54">
      <w:pPr>
        <w:pStyle w:val="ListParagraph"/>
        <w:spacing w:after="0" w:line="300" w:lineRule="atLeast"/>
        <w:ind w:left="709"/>
        <w:contextualSpacing w:val="0"/>
        <w:rPr>
          <w:rFonts w:ascii="Arial" w:hAnsi="Arial" w:cs="Arial"/>
        </w:rPr>
      </w:pPr>
    </w:p>
    <w:p w14:paraId="5E34A8C9" w14:textId="08CA30B9" w:rsidR="00034BAC" w:rsidRPr="00673209" w:rsidRDefault="00985D98" w:rsidP="00985D98">
      <w:pPr>
        <w:spacing w:after="0" w:line="300" w:lineRule="atLeast"/>
        <w:ind w:left="709" w:hanging="709"/>
        <w:rPr>
          <w:rFonts w:ascii="Arial" w:hAnsi="Arial" w:cs="Arial"/>
        </w:rPr>
      </w:pPr>
      <w:r w:rsidRPr="00673209">
        <w:rPr>
          <w:rFonts w:ascii="Arial" w:hAnsi="Arial" w:cs="Arial"/>
        </w:rPr>
        <w:t>5.10</w:t>
      </w:r>
      <w:r w:rsidRPr="00673209">
        <w:rPr>
          <w:rFonts w:ascii="Arial" w:hAnsi="Arial" w:cs="Arial"/>
        </w:rPr>
        <w:tab/>
      </w:r>
      <w:r w:rsidR="00034BAC" w:rsidRPr="00673209">
        <w:rPr>
          <w:rFonts w:ascii="Arial" w:hAnsi="Arial" w:cs="Arial"/>
        </w:rPr>
        <w:t>Given the changes in Council Tax legislation, and the fact that no</w:t>
      </w:r>
      <w:r w:rsidR="00927C19" w:rsidRPr="00673209">
        <w:rPr>
          <w:rFonts w:ascii="Arial" w:hAnsi="Arial" w:cs="Arial"/>
        </w:rPr>
        <w:t>t</w:t>
      </w:r>
      <w:r w:rsidR="00034BAC" w:rsidRPr="00673209">
        <w:rPr>
          <w:rFonts w:ascii="Arial" w:hAnsi="Arial" w:cs="Arial"/>
        </w:rPr>
        <w:t xml:space="preserve"> all HMOs have been disaggregated, the records of Council Tax </w:t>
      </w:r>
      <w:r w:rsidR="00927C19" w:rsidRPr="00673209">
        <w:rPr>
          <w:rFonts w:ascii="Arial" w:hAnsi="Arial" w:cs="Arial"/>
        </w:rPr>
        <w:t>are</w:t>
      </w:r>
      <w:r w:rsidR="00034BAC" w:rsidRPr="00673209">
        <w:rPr>
          <w:rFonts w:ascii="Arial" w:hAnsi="Arial" w:cs="Arial"/>
        </w:rPr>
        <w:t xml:space="preserve"> unlikely to accurately reflect the number of the HMOs in the Borough. </w:t>
      </w:r>
      <w:r w:rsidRPr="00673209">
        <w:rPr>
          <w:rFonts w:ascii="Arial" w:hAnsi="Arial" w:cs="Arial"/>
        </w:rPr>
        <w:t xml:space="preserve"> </w:t>
      </w:r>
      <w:r w:rsidR="00034BAC" w:rsidRPr="00673209">
        <w:rPr>
          <w:rFonts w:ascii="Arial" w:hAnsi="Arial" w:cs="Arial"/>
        </w:rPr>
        <w:t>However, it does provide useful baseline data for the purpose of cross-referencing with the records held by Housing Standards and</w:t>
      </w:r>
      <w:r w:rsidR="00927C19" w:rsidRPr="00673209">
        <w:rPr>
          <w:rFonts w:ascii="Arial" w:hAnsi="Arial" w:cs="Arial"/>
        </w:rPr>
        <w:t xml:space="preserve"> the</w:t>
      </w:r>
      <w:r w:rsidR="00034BAC" w:rsidRPr="00673209">
        <w:rPr>
          <w:rFonts w:ascii="Arial" w:hAnsi="Arial" w:cs="Arial"/>
        </w:rPr>
        <w:t xml:space="preserve"> Environment Protection Team.  </w:t>
      </w:r>
    </w:p>
    <w:p w14:paraId="253C1DA2" w14:textId="77777777" w:rsidR="001F7B54" w:rsidRPr="00673209" w:rsidRDefault="001F7B54" w:rsidP="001F7B54">
      <w:pPr>
        <w:pStyle w:val="ListParagraph"/>
        <w:spacing w:after="0" w:line="300" w:lineRule="atLeast"/>
        <w:ind w:left="709"/>
        <w:contextualSpacing w:val="0"/>
        <w:rPr>
          <w:rFonts w:ascii="Arial" w:hAnsi="Arial" w:cs="Arial"/>
        </w:rPr>
      </w:pPr>
    </w:p>
    <w:p w14:paraId="0E4997F0" w14:textId="77777777" w:rsidR="008E0EAC" w:rsidRPr="00673209" w:rsidRDefault="008E0EAC" w:rsidP="001F7B54">
      <w:pPr>
        <w:pStyle w:val="ListParagraph"/>
        <w:numPr>
          <w:ilvl w:val="0"/>
          <w:numId w:val="2"/>
        </w:numPr>
        <w:spacing w:after="0" w:line="300" w:lineRule="atLeast"/>
        <w:ind w:left="1418" w:hanging="502"/>
        <w:rPr>
          <w:rFonts w:ascii="Arial" w:hAnsi="Arial" w:cs="Arial"/>
          <w:b/>
        </w:rPr>
      </w:pPr>
      <w:r w:rsidRPr="00673209">
        <w:rPr>
          <w:rFonts w:ascii="Arial" w:hAnsi="Arial" w:cs="Arial"/>
          <w:b/>
        </w:rPr>
        <w:t xml:space="preserve">HMOs provided </w:t>
      </w:r>
      <w:r w:rsidR="00034BAC" w:rsidRPr="00673209">
        <w:rPr>
          <w:rFonts w:ascii="Arial" w:hAnsi="Arial" w:cs="Arial"/>
          <w:b/>
        </w:rPr>
        <w:t xml:space="preserve">and Managed by Government Partnerships </w:t>
      </w:r>
    </w:p>
    <w:p w14:paraId="38567BA0" w14:textId="77777777" w:rsidR="008E0EAC" w:rsidRPr="00E810AA" w:rsidRDefault="008E0EAC" w:rsidP="00E810AA">
      <w:pPr>
        <w:pStyle w:val="ListParagraph"/>
        <w:spacing w:after="0" w:line="300" w:lineRule="atLeast"/>
        <w:ind w:left="1276"/>
        <w:rPr>
          <w:rFonts w:ascii="Arial" w:hAnsi="Arial" w:cs="Arial"/>
        </w:rPr>
      </w:pPr>
    </w:p>
    <w:p w14:paraId="68D16DC2" w14:textId="60DFBA4D" w:rsidR="008E0EAC" w:rsidRPr="00985D98" w:rsidRDefault="00985D98" w:rsidP="00985D98">
      <w:pPr>
        <w:spacing w:after="0" w:line="300" w:lineRule="atLeast"/>
        <w:ind w:left="709" w:hanging="709"/>
        <w:rPr>
          <w:rFonts w:ascii="Arial" w:hAnsi="Arial" w:cs="Arial"/>
        </w:rPr>
      </w:pPr>
      <w:r>
        <w:rPr>
          <w:rFonts w:ascii="Arial" w:hAnsi="Arial" w:cs="Arial"/>
        </w:rPr>
        <w:t>5.11</w:t>
      </w:r>
      <w:r>
        <w:rPr>
          <w:rFonts w:ascii="Arial" w:hAnsi="Arial" w:cs="Arial"/>
        </w:rPr>
        <w:tab/>
      </w:r>
      <w:r w:rsidR="00034BAC" w:rsidRPr="00985D98">
        <w:rPr>
          <w:rFonts w:ascii="Arial" w:hAnsi="Arial" w:cs="Arial"/>
        </w:rPr>
        <w:t xml:space="preserve">It is </w:t>
      </w:r>
      <w:r w:rsidR="006D675C" w:rsidRPr="00985D98">
        <w:rPr>
          <w:rFonts w:ascii="Arial" w:hAnsi="Arial" w:cs="Arial"/>
        </w:rPr>
        <w:t>understood that</w:t>
      </w:r>
      <w:r w:rsidR="00034BAC" w:rsidRPr="00985D98">
        <w:rPr>
          <w:rFonts w:ascii="Arial" w:hAnsi="Arial" w:cs="Arial"/>
        </w:rPr>
        <w:t xml:space="preserve"> certain Government Partnerships acquire properties within Hyndburn to provide HMO bed spaces for homeless referrals, prison release referrals and violent offenders (subject to bail conditions). There is further evidence that these types of accommodation </w:t>
      </w:r>
      <w:r w:rsidR="0093292A">
        <w:rPr>
          <w:rFonts w:ascii="Arial" w:hAnsi="Arial" w:cs="Arial"/>
        </w:rPr>
        <w:t xml:space="preserve">are </w:t>
      </w:r>
      <w:r w:rsidR="00034BAC" w:rsidRPr="00985D98">
        <w:rPr>
          <w:rFonts w:ascii="Arial" w:hAnsi="Arial" w:cs="Arial"/>
        </w:rPr>
        <w:t>often occupied by people f</w:t>
      </w:r>
      <w:r w:rsidR="0093292A">
        <w:rPr>
          <w:rFonts w:ascii="Arial" w:hAnsi="Arial" w:cs="Arial"/>
        </w:rPr>
        <w:t>rom outside the Borough or the C</w:t>
      </w:r>
      <w:r w:rsidR="00034BAC" w:rsidRPr="00985D98">
        <w:rPr>
          <w:rFonts w:ascii="Arial" w:hAnsi="Arial" w:cs="Arial"/>
        </w:rPr>
        <w:t xml:space="preserve">ounty. </w:t>
      </w:r>
    </w:p>
    <w:p w14:paraId="456C9400" w14:textId="77777777" w:rsidR="001F7B54" w:rsidRPr="00E810AA" w:rsidRDefault="001F7B54" w:rsidP="001F7B54">
      <w:pPr>
        <w:pStyle w:val="ListParagraph"/>
        <w:spacing w:after="0" w:line="300" w:lineRule="atLeast"/>
        <w:ind w:left="709"/>
        <w:contextualSpacing w:val="0"/>
        <w:rPr>
          <w:rFonts w:ascii="Arial" w:hAnsi="Arial" w:cs="Arial"/>
        </w:rPr>
      </w:pPr>
    </w:p>
    <w:p w14:paraId="7176ACBF" w14:textId="40221B66" w:rsidR="00034BAC" w:rsidRDefault="0093292A" w:rsidP="0093292A">
      <w:pPr>
        <w:spacing w:after="0" w:line="300" w:lineRule="atLeast"/>
        <w:ind w:left="709" w:hanging="709"/>
        <w:rPr>
          <w:rFonts w:ascii="Arial" w:hAnsi="Arial" w:cs="Arial"/>
        </w:rPr>
      </w:pPr>
      <w:r>
        <w:rPr>
          <w:rFonts w:ascii="Arial" w:hAnsi="Arial" w:cs="Arial"/>
        </w:rPr>
        <w:lastRenderedPageBreak/>
        <w:t>5.12</w:t>
      </w:r>
      <w:r>
        <w:rPr>
          <w:rFonts w:ascii="Arial" w:hAnsi="Arial" w:cs="Arial"/>
        </w:rPr>
        <w:tab/>
      </w:r>
      <w:r w:rsidR="00034BAC" w:rsidRPr="00311BE0">
        <w:rPr>
          <w:rFonts w:ascii="Arial" w:hAnsi="Arial" w:cs="Arial"/>
        </w:rPr>
        <w:t>The information provided by the Council’s Housing Team in S</w:t>
      </w:r>
      <w:r w:rsidRPr="00311BE0">
        <w:rPr>
          <w:rFonts w:ascii="Arial" w:hAnsi="Arial" w:cs="Arial"/>
        </w:rPr>
        <w:t>eptember 2024 suggested that</w:t>
      </w:r>
      <w:r w:rsidR="00034BAC" w:rsidRPr="00311BE0">
        <w:rPr>
          <w:rFonts w:ascii="Arial" w:hAnsi="Arial" w:cs="Arial"/>
        </w:rPr>
        <w:t xml:space="preserve"> </w:t>
      </w:r>
      <w:r w:rsidRPr="00311BE0">
        <w:rPr>
          <w:rFonts w:ascii="Arial" w:hAnsi="Arial" w:cs="Arial"/>
        </w:rPr>
        <w:t>Government Partnerships operate</w:t>
      </w:r>
      <w:r w:rsidR="00311BE0">
        <w:rPr>
          <w:rFonts w:ascii="Arial" w:hAnsi="Arial" w:cs="Arial"/>
        </w:rPr>
        <w:t>d</w:t>
      </w:r>
      <w:r w:rsidR="00034BAC" w:rsidRPr="00311BE0">
        <w:rPr>
          <w:rFonts w:ascii="Arial" w:hAnsi="Arial" w:cs="Arial"/>
        </w:rPr>
        <w:t xml:space="preserve"> 83 HMOs properties within Hyndburn, containing a total of 357 bed spaces</w:t>
      </w:r>
      <w:r w:rsidR="00034BAC" w:rsidRPr="0093292A">
        <w:rPr>
          <w:rFonts w:ascii="Arial" w:hAnsi="Arial" w:cs="Arial"/>
        </w:rPr>
        <w:t>.</w:t>
      </w:r>
      <w:r w:rsidRPr="0093292A">
        <w:rPr>
          <w:rFonts w:ascii="Arial" w:hAnsi="Arial" w:cs="Arial"/>
        </w:rPr>
        <w:t xml:space="preserve"> </w:t>
      </w:r>
      <w:r w:rsidR="00034BAC" w:rsidRPr="0093292A">
        <w:rPr>
          <w:rFonts w:ascii="Arial" w:hAnsi="Arial" w:cs="Arial"/>
        </w:rPr>
        <w:t xml:space="preserve"> It is noted that about 3-5 properties are added and removed each month from t</w:t>
      </w:r>
      <w:r w:rsidRPr="0093292A">
        <w:rPr>
          <w:rFonts w:ascii="Arial" w:hAnsi="Arial" w:cs="Arial"/>
        </w:rPr>
        <w:t>he list, which is due to the termination</w:t>
      </w:r>
      <w:r w:rsidR="00034BAC" w:rsidRPr="0093292A">
        <w:rPr>
          <w:rFonts w:ascii="Arial" w:hAnsi="Arial" w:cs="Arial"/>
        </w:rPr>
        <w:t xml:space="preserve"> of contracts of some properties and acquisition of new properties. </w:t>
      </w:r>
      <w:r w:rsidR="00C5749D">
        <w:rPr>
          <w:rFonts w:ascii="Arial" w:hAnsi="Arial" w:cs="Arial"/>
        </w:rPr>
        <w:t xml:space="preserve"> </w:t>
      </w:r>
    </w:p>
    <w:p w14:paraId="19354BBC" w14:textId="77777777" w:rsidR="00A076BD" w:rsidRDefault="00A076BD" w:rsidP="0093292A">
      <w:pPr>
        <w:spacing w:after="0" w:line="300" w:lineRule="atLeast"/>
        <w:ind w:left="709" w:hanging="709"/>
        <w:rPr>
          <w:rFonts w:ascii="Arial" w:hAnsi="Arial" w:cs="Arial"/>
        </w:rPr>
      </w:pPr>
    </w:p>
    <w:p w14:paraId="26A711D0" w14:textId="32E7CA27" w:rsidR="00A076BD" w:rsidRPr="00A076BD" w:rsidRDefault="00A076BD" w:rsidP="0093292A">
      <w:pPr>
        <w:spacing w:after="0" w:line="300" w:lineRule="atLeast"/>
        <w:ind w:left="709" w:hanging="709"/>
        <w:rPr>
          <w:rFonts w:ascii="Arial" w:hAnsi="Arial" w:cs="Arial"/>
          <w:b/>
          <w:bCs/>
        </w:rPr>
      </w:pPr>
      <w:r>
        <w:rPr>
          <w:rFonts w:ascii="Arial" w:hAnsi="Arial" w:cs="Arial"/>
        </w:rPr>
        <w:tab/>
      </w:r>
      <w:r w:rsidRPr="00A076BD">
        <w:rPr>
          <w:rFonts w:ascii="Arial" w:hAnsi="Arial" w:cs="Arial"/>
          <w:b/>
          <w:bCs/>
        </w:rPr>
        <w:t>iv</w:t>
      </w:r>
      <w:r w:rsidRPr="00A076BD">
        <w:rPr>
          <w:rFonts w:ascii="Arial" w:hAnsi="Arial" w:cs="Arial"/>
          <w:b/>
          <w:bCs/>
        </w:rPr>
        <w:tab/>
        <w:t>Planning Permission</w:t>
      </w:r>
      <w:r w:rsidR="00673209">
        <w:rPr>
          <w:rFonts w:ascii="Arial" w:hAnsi="Arial" w:cs="Arial"/>
          <w:b/>
          <w:bCs/>
        </w:rPr>
        <w:t>s</w:t>
      </w:r>
    </w:p>
    <w:p w14:paraId="33D1F931" w14:textId="1951AEA9" w:rsidR="00A076BD" w:rsidRDefault="00A076BD" w:rsidP="0093292A">
      <w:pPr>
        <w:spacing w:after="0" w:line="300" w:lineRule="atLeast"/>
        <w:ind w:left="709" w:hanging="709"/>
        <w:rPr>
          <w:rFonts w:ascii="Arial" w:hAnsi="Arial" w:cs="Arial"/>
        </w:rPr>
      </w:pPr>
      <w:r>
        <w:rPr>
          <w:rFonts w:ascii="Arial" w:hAnsi="Arial" w:cs="Arial"/>
        </w:rPr>
        <w:tab/>
      </w:r>
    </w:p>
    <w:p w14:paraId="1EC1B9F1" w14:textId="21F3262A" w:rsidR="00A076BD" w:rsidRPr="0093292A" w:rsidRDefault="00A076BD" w:rsidP="0093292A">
      <w:pPr>
        <w:spacing w:after="0" w:line="300" w:lineRule="atLeast"/>
        <w:ind w:left="709" w:hanging="709"/>
        <w:rPr>
          <w:rFonts w:ascii="Arial" w:hAnsi="Arial" w:cs="Arial"/>
        </w:rPr>
      </w:pPr>
      <w:r>
        <w:rPr>
          <w:rFonts w:ascii="Arial" w:hAnsi="Arial" w:cs="Arial"/>
        </w:rPr>
        <w:tab/>
        <w:t xml:space="preserve">Larger HMOs </w:t>
      </w:r>
      <w:r w:rsidR="009F3D0A">
        <w:rPr>
          <w:rFonts w:ascii="Arial" w:hAnsi="Arial" w:cs="Arial"/>
        </w:rPr>
        <w:t xml:space="preserve">still </w:t>
      </w:r>
      <w:r>
        <w:rPr>
          <w:rFonts w:ascii="Arial" w:hAnsi="Arial" w:cs="Arial"/>
        </w:rPr>
        <w:t xml:space="preserve">require planning permission.  </w:t>
      </w:r>
      <w:r w:rsidR="009F3D0A">
        <w:rPr>
          <w:rFonts w:ascii="Arial" w:hAnsi="Arial" w:cs="Arial"/>
        </w:rPr>
        <w:t>However, on an inte</w:t>
      </w:r>
      <w:r w:rsidR="00311BE0">
        <w:rPr>
          <w:rFonts w:ascii="Arial" w:hAnsi="Arial" w:cs="Arial"/>
        </w:rPr>
        <w:t>rrogation</w:t>
      </w:r>
      <w:r w:rsidR="009F3D0A">
        <w:rPr>
          <w:rFonts w:ascii="Arial" w:hAnsi="Arial" w:cs="Arial"/>
        </w:rPr>
        <w:t xml:space="preserve"> of the planning records</w:t>
      </w:r>
      <w:r w:rsidR="00673209">
        <w:rPr>
          <w:rFonts w:ascii="Arial" w:hAnsi="Arial" w:cs="Arial"/>
        </w:rPr>
        <w:t>,</w:t>
      </w:r>
      <w:r w:rsidR="009F3D0A">
        <w:rPr>
          <w:rFonts w:ascii="Arial" w:hAnsi="Arial" w:cs="Arial"/>
        </w:rPr>
        <w:t xml:space="preserve"> there have not been that many permissions granted since 2000.  Therefore, many of the dwellings that </w:t>
      </w:r>
      <w:r w:rsidR="00673209">
        <w:rPr>
          <w:rFonts w:ascii="Arial" w:hAnsi="Arial" w:cs="Arial"/>
        </w:rPr>
        <w:t xml:space="preserve">were converted to </w:t>
      </w:r>
      <w:r w:rsidR="009F3D0A">
        <w:rPr>
          <w:rFonts w:ascii="Arial" w:hAnsi="Arial" w:cs="Arial"/>
        </w:rPr>
        <w:t xml:space="preserve">smaller HMOs either did not gain </w:t>
      </w:r>
      <w:r w:rsidR="00673209">
        <w:rPr>
          <w:rFonts w:ascii="Arial" w:hAnsi="Arial" w:cs="Arial"/>
        </w:rPr>
        <w:t xml:space="preserve">planning </w:t>
      </w:r>
      <w:r w:rsidR="009F3D0A">
        <w:rPr>
          <w:rFonts w:ascii="Arial" w:hAnsi="Arial" w:cs="Arial"/>
        </w:rPr>
        <w:t>permission when they should have</w:t>
      </w:r>
      <w:r w:rsidR="00673209">
        <w:rPr>
          <w:rFonts w:ascii="Arial" w:hAnsi="Arial" w:cs="Arial"/>
        </w:rPr>
        <w:t>,</w:t>
      </w:r>
      <w:r w:rsidR="009F3D0A">
        <w:rPr>
          <w:rFonts w:ascii="Arial" w:hAnsi="Arial" w:cs="Arial"/>
        </w:rPr>
        <w:t xml:space="preserve"> or have converted after 2010. </w:t>
      </w:r>
    </w:p>
    <w:p w14:paraId="70CE190A" w14:textId="77777777" w:rsidR="001F7B54" w:rsidRPr="00E810AA" w:rsidRDefault="001F7B54" w:rsidP="001F7B54">
      <w:pPr>
        <w:pStyle w:val="ListParagraph"/>
        <w:spacing w:after="0" w:line="300" w:lineRule="atLeast"/>
        <w:ind w:left="709"/>
        <w:contextualSpacing w:val="0"/>
        <w:rPr>
          <w:rFonts w:ascii="Arial" w:hAnsi="Arial" w:cs="Arial"/>
        </w:rPr>
      </w:pPr>
    </w:p>
    <w:p w14:paraId="2DA38600" w14:textId="77777777" w:rsidR="007C1655" w:rsidRPr="001F7B54" w:rsidRDefault="007C1655" w:rsidP="001F7B54">
      <w:pPr>
        <w:pStyle w:val="ListParagraph"/>
        <w:numPr>
          <w:ilvl w:val="0"/>
          <w:numId w:val="2"/>
        </w:numPr>
        <w:spacing w:after="0" w:line="300" w:lineRule="atLeast"/>
        <w:ind w:left="1418" w:hanging="502"/>
        <w:contextualSpacing w:val="0"/>
        <w:rPr>
          <w:rFonts w:ascii="Arial" w:hAnsi="Arial" w:cs="Arial"/>
          <w:b/>
        </w:rPr>
      </w:pPr>
      <w:r w:rsidRPr="001F7B54">
        <w:rPr>
          <w:rFonts w:ascii="Arial" w:hAnsi="Arial" w:cs="Arial"/>
          <w:b/>
        </w:rPr>
        <w:t xml:space="preserve">Summary </w:t>
      </w:r>
    </w:p>
    <w:p w14:paraId="75588118" w14:textId="77777777" w:rsidR="001F7B54" w:rsidRPr="00E810AA" w:rsidRDefault="001F7B54" w:rsidP="001F7B54">
      <w:pPr>
        <w:pStyle w:val="ListParagraph"/>
        <w:spacing w:after="0" w:line="300" w:lineRule="atLeast"/>
        <w:ind w:left="1276"/>
        <w:contextualSpacing w:val="0"/>
        <w:rPr>
          <w:rFonts w:ascii="Arial" w:hAnsi="Arial" w:cs="Arial"/>
        </w:rPr>
      </w:pPr>
    </w:p>
    <w:p w14:paraId="2C68A88D" w14:textId="64652AFD" w:rsidR="00B01217" w:rsidRDefault="0093292A" w:rsidP="001E1B7F">
      <w:pPr>
        <w:spacing w:after="0" w:line="300" w:lineRule="atLeast"/>
        <w:ind w:left="709" w:hanging="709"/>
        <w:rPr>
          <w:rFonts w:ascii="Arial" w:hAnsi="Arial" w:cs="Arial"/>
        </w:rPr>
      </w:pPr>
      <w:r>
        <w:rPr>
          <w:rFonts w:ascii="Arial" w:hAnsi="Arial" w:cs="Arial"/>
        </w:rPr>
        <w:t>5.13</w:t>
      </w:r>
      <w:r>
        <w:rPr>
          <w:rFonts w:ascii="Arial" w:hAnsi="Arial" w:cs="Arial"/>
        </w:rPr>
        <w:tab/>
      </w:r>
      <w:r w:rsidR="00FB7F34" w:rsidRPr="0093292A">
        <w:rPr>
          <w:rFonts w:ascii="Arial" w:hAnsi="Arial" w:cs="Arial"/>
        </w:rPr>
        <w:t xml:space="preserve">The </w:t>
      </w:r>
      <w:r w:rsidR="00AE2CC1" w:rsidRPr="0093292A">
        <w:rPr>
          <w:rFonts w:ascii="Arial" w:hAnsi="Arial" w:cs="Arial"/>
        </w:rPr>
        <w:t>Council’s Housing Standards Department</w:t>
      </w:r>
      <w:r w:rsidR="00897643" w:rsidRPr="0093292A">
        <w:rPr>
          <w:rFonts w:ascii="Arial" w:hAnsi="Arial" w:cs="Arial"/>
        </w:rPr>
        <w:t xml:space="preserve"> have</w:t>
      </w:r>
      <w:r w:rsidR="00FB7F34" w:rsidRPr="0093292A">
        <w:rPr>
          <w:rFonts w:ascii="Arial" w:hAnsi="Arial" w:cs="Arial"/>
        </w:rPr>
        <w:t xml:space="preserve"> collected and analysed all the data from the </w:t>
      </w:r>
      <w:r w:rsidR="002E6C07" w:rsidRPr="0093292A">
        <w:rPr>
          <w:rFonts w:ascii="Arial" w:hAnsi="Arial" w:cs="Arial"/>
        </w:rPr>
        <w:t>above-described</w:t>
      </w:r>
      <w:r w:rsidR="00FB7F34" w:rsidRPr="0093292A">
        <w:rPr>
          <w:rFonts w:ascii="Arial" w:hAnsi="Arial" w:cs="Arial"/>
        </w:rPr>
        <w:t xml:space="preserve"> sources, </w:t>
      </w:r>
      <w:r w:rsidR="00897643" w:rsidRPr="0093292A">
        <w:rPr>
          <w:rFonts w:ascii="Arial" w:hAnsi="Arial" w:cs="Arial"/>
        </w:rPr>
        <w:t>alongside the housing benefits data released by the DWP.</w:t>
      </w:r>
      <w:r>
        <w:rPr>
          <w:rFonts w:ascii="Arial" w:hAnsi="Arial" w:cs="Arial"/>
        </w:rPr>
        <w:t xml:space="preserve"> </w:t>
      </w:r>
      <w:r w:rsidR="00897643" w:rsidRPr="0093292A">
        <w:rPr>
          <w:rFonts w:ascii="Arial" w:hAnsi="Arial" w:cs="Arial"/>
        </w:rPr>
        <w:t xml:space="preserve"> </w:t>
      </w:r>
      <w:r w:rsidR="00897643" w:rsidRPr="008943E1">
        <w:rPr>
          <w:rFonts w:ascii="Arial" w:hAnsi="Arial" w:cs="Arial"/>
        </w:rPr>
        <w:t>It is concluded that</w:t>
      </w:r>
      <w:r w:rsidR="008943E1" w:rsidRPr="008943E1">
        <w:rPr>
          <w:rFonts w:ascii="Arial" w:hAnsi="Arial" w:cs="Arial"/>
        </w:rPr>
        <w:t xml:space="preserve"> as of February 2026</w:t>
      </w:r>
      <w:r w:rsidR="00AE2CC1" w:rsidRPr="008943E1">
        <w:rPr>
          <w:rFonts w:ascii="Arial" w:hAnsi="Arial" w:cs="Arial"/>
        </w:rPr>
        <w:t xml:space="preserve">, </w:t>
      </w:r>
      <w:r w:rsidR="008943E1" w:rsidRPr="008943E1">
        <w:rPr>
          <w:rFonts w:ascii="Arial" w:hAnsi="Arial" w:cs="Arial"/>
        </w:rPr>
        <w:t xml:space="preserve">there are approximately </w:t>
      </w:r>
      <w:r w:rsidR="00AE2CC1" w:rsidRPr="008943E1">
        <w:rPr>
          <w:rFonts w:ascii="Arial" w:hAnsi="Arial" w:cs="Arial"/>
        </w:rPr>
        <w:t>50</w:t>
      </w:r>
      <w:r w:rsidR="008943E1" w:rsidRPr="008943E1">
        <w:rPr>
          <w:rFonts w:ascii="Arial" w:hAnsi="Arial" w:cs="Arial"/>
        </w:rPr>
        <w:t>2</w:t>
      </w:r>
      <w:r w:rsidR="00AE2CC1" w:rsidRPr="008943E1">
        <w:rPr>
          <w:rFonts w:ascii="Arial" w:hAnsi="Arial" w:cs="Arial"/>
        </w:rPr>
        <w:t xml:space="preserve"> HMOs</w:t>
      </w:r>
      <w:r w:rsidR="008943E1" w:rsidRPr="008943E1">
        <w:rPr>
          <w:rFonts w:ascii="Arial" w:hAnsi="Arial" w:cs="Arial"/>
        </w:rPr>
        <w:t xml:space="preserve"> within the Borough of Hyndburn.</w:t>
      </w:r>
      <w:r w:rsidR="008943E1">
        <w:rPr>
          <w:rFonts w:ascii="Arial" w:hAnsi="Arial" w:cs="Arial"/>
        </w:rPr>
        <w:t xml:space="preserve"> </w:t>
      </w:r>
      <w:r w:rsidR="002E6C07">
        <w:rPr>
          <w:rFonts w:ascii="Arial" w:hAnsi="Arial" w:cs="Arial"/>
        </w:rPr>
        <w:t>There are no wards in the Borough with nil HMOs</w:t>
      </w:r>
      <w:r w:rsidR="00673209">
        <w:rPr>
          <w:rFonts w:ascii="Arial" w:hAnsi="Arial" w:cs="Arial"/>
        </w:rPr>
        <w:t>.</w:t>
      </w:r>
    </w:p>
    <w:p w14:paraId="24E3E876" w14:textId="77777777" w:rsidR="001E1B7F" w:rsidRPr="00E810AA" w:rsidRDefault="001E1B7F" w:rsidP="001E1B7F">
      <w:pPr>
        <w:spacing w:after="0" w:line="300" w:lineRule="atLeast"/>
        <w:ind w:left="709" w:hanging="709"/>
        <w:rPr>
          <w:rFonts w:ascii="Arial" w:hAnsi="Arial" w:cs="Arial"/>
        </w:rPr>
      </w:pPr>
    </w:p>
    <w:p w14:paraId="56AA32CC" w14:textId="77777777" w:rsidR="00673209" w:rsidRDefault="00C5749D" w:rsidP="00C5749D">
      <w:pPr>
        <w:spacing w:after="0" w:line="300" w:lineRule="atLeast"/>
        <w:ind w:left="709" w:hanging="709"/>
        <w:rPr>
          <w:rFonts w:ascii="Arial" w:hAnsi="Arial" w:cs="Arial"/>
        </w:rPr>
      </w:pPr>
      <w:r>
        <w:rPr>
          <w:rFonts w:ascii="Arial" w:hAnsi="Arial" w:cs="Arial"/>
        </w:rPr>
        <w:t>5.14</w:t>
      </w:r>
      <w:r>
        <w:rPr>
          <w:rFonts w:ascii="Arial" w:hAnsi="Arial" w:cs="Arial"/>
        </w:rPr>
        <w:tab/>
      </w:r>
      <w:r w:rsidR="007C1655" w:rsidRPr="00C5749D">
        <w:rPr>
          <w:rFonts w:ascii="Arial" w:hAnsi="Arial" w:cs="Arial"/>
        </w:rPr>
        <w:t>In light of the above, it is noted that without an extant Article 4 Direction, reaching an authoritative estimate of the number</w:t>
      </w:r>
      <w:r w:rsidR="00034BAC" w:rsidRPr="00C5749D">
        <w:rPr>
          <w:rFonts w:ascii="Arial" w:hAnsi="Arial" w:cs="Arial"/>
        </w:rPr>
        <w:t>, distribution and level of concentration</w:t>
      </w:r>
      <w:r w:rsidR="007C1655" w:rsidRPr="00C5749D">
        <w:rPr>
          <w:rFonts w:ascii="Arial" w:hAnsi="Arial" w:cs="Arial"/>
        </w:rPr>
        <w:t xml:space="preserve"> of HMOs across Hyndburn Borough is </w:t>
      </w:r>
      <w:r w:rsidR="003603EF" w:rsidRPr="00C5749D">
        <w:rPr>
          <w:rFonts w:ascii="Arial" w:hAnsi="Arial" w:cs="Arial"/>
        </w:rPr>
        <w:t>nearly</w:t>
      </w:r>
      <w:r w:rsidR="007C1655" w:rsidRPr="00C5749D">
        <w:rPr>
          <w:rFonts w:ascii="Arial" w:hAnsi="Arial" w:cs="Arial"/>
        </w:rPr>
        <w:t xml:space="preserve"> impossible.</w:t>
      </w:r>
      <w:r>
        <w:rPr>
          <w:rFonts w:ascii="Arial" w:hAnsi="Arial" w:cs="Arial"/>
        </w:rPr>
        <w:t xml:space="preserve"> </w:t>
      </w:r>
      <w:r w:rsidR="007C1655" w:rsidRPr="00C5749D">
        <w:rPr>
          <w:rFonts w:ascii="Arial" w:hAnsi="Arial" w:cs="Arial"/>
        </w:rPr>
        <w:t xml:space="preserve"> This is because</w:t>
      </w:r>
      <w:r w:rsidR="00673209">
        <w:rPr>
          <w:rFonts w:ascii="Arial" w:hAnsi="Arial" w:cs="Arial"/>
        </w:rPr>
        <w:t xml:space="preserve">; </w:t>
      </w:r>
      <w:proofErr w:type="spellStart"/>
      <w:r w:rsidR="00673209">
        <w:rPr>
          <w:rFonts w:ascii="Arial" w:hAnsi="Arial" w:cs="Arial"/>
        </w:rPr>
        <w:t>i</w:t>
      </w:r>
      <w:proofErr w:type="spellEnd"/>
      <w:r w:rsidR="00673209">
        <w:rPr>
          <w:rFonts w:ascii="Arial" w:hAnsi="Arial" w:cs="Arial"/>
        </w:rPr>
        <w:t xml:space="preserve">) </w:t>
      </w:r>
      <w:r w:rsidR="007C1655" w:rsidRPr="00C5749D">
        <w:rPr>
          <w:rFonts w:ascii="Arial" w:hAnsi="Arial" w:cs="Arial"/>
        </w:rPr>
        <w:t>the Council’s Selective Licensing</w:t>
      </w:r>
      <w:r w:rsidR="00FB7F34" w:rsidRPr="00C5749D">
        <w:rPr>
          <w:rFonts w:ascii="Arial" w:hAnsi="Arial" w:cs="Arial"/>
        </w:rPr>
        <w:t xml:space="preserve"> Scheme (between 2018 and 2023) only applie</w:t>
      </w:r>
      <w:r w:rsidR="008943E1">
        <w:rPr>
          <w:rFonts w:ascii="Arial" w:hAnsi="Arial" w:cs="Arial"/>
        </w:rPr>
        <w:t>d</w:t>
      </w:r>
      <w:r w:rsidR="00FB7F34" w:rsidRPr="00C5749D">
        <w:rPr>
          <w:rFonts w:ascii="Arial" w:hAnsi="Arial" w:cs="Arial"/>
        </w:rPr>
        <w:t xml:space="preserve"> to </w:t>
      </w:r>
      <w:r w:rsidR="008943E1">
        <w:rPr>
          <w:rFonts w:ascii="Arial" w:hAnsi="Arial" w:cs="Arial"/>
        </w:rPr>
        <w:t xml:space="preserve">a </w:t>
      </w:r>
      <w:r w:rsidR="00FB7F34" w:rsidRPr="00C5749D">
        <w:rPr>
          <w:rFonts w:ascii="Arial" w:hAnsi="Arial" w:cs="Arial"/>
        </w:rPr>
        <w:t>limited number of L</w:t>
      </w:r>
      <w:r w:rsidR="008943E1">
        <w:rPr>
          <w:rFonts w:ascii="Arial" w:hAnsi="Arial" w:cs="Arial"/>
        </w:rPr>
        <w:t xml:space="preserve">ower </w:t>
      </w:r>
      <w:r w:rsidR="00FB7F34" w:rsidRPr="00C5749D">
        <w:rPr>
          <w:rFonts w:ascii="Arial" w:hAnsi="Arial" w:cs="Arial"/>
        </w:rPr>
        <w:t>S</w:t>
      </w:r>
      <w:r w:rsidR="008943E1">
        <w:rPr>
          <w:rFonts w:ascii="Arial" w:hAnsi="Arial" w:cs="Arial"/>
        </w:rPr>
        <w:t xml:space="preserve">uper </w:t>
      </w:r>
      <w:r w:rsidR="00FB7F34" w:rsidRPr="00C5749D">
        <w:rPr>
          <w:rFonts w:ascii="Arial" w:hAnsi="Arial" w:cs="Arial"/>
        </w:rPr>
        <w:t>O</w:t>
      </w:r>
      <w:r w:rsidR="008943E1">
        <w:rPr>
          <w:rFonts w:ascii="Arial" w:hAnsi="Arial" w:cs="Arial"/>
        </w:rPr>
        <w:t xml:space="preserve">utput </w:t>
      </w:r>
      <w:r w:rsidR="00FB7F34" w:rsidRPr="00C5749D">
        <w:rPr>
          <w:rFonts w:ascii="Arial" w:hAnsi="Arial" w:cs="Arial"/>
        </w:rPr>
        <w:t>A</w:t>
      </w:r>
      <w:r w:rsidR="008943E1">
        <w:rPr>
          <w:rFonts w:ascii="Arial" w:hAnsi="Arial" w:cs="Arial"/>
        </w:rPr>
        <w:t>reas (LSOA)</w:t>
      </w:r>
      <w:r w:rsidR="00FB7F34" w:rsidRPr="00C5749D">
        <w:rPr>
          <w:rFonts w:ascii="Arial" w:hAnsi="Arial" w:cs="Arial"/>
        </w:rPr>
        <w:t xml:space="preserve"> within some </w:t>
      </w:r>
      <w:r w:rsidR="00430DAA" w:rsidRPr="00C5749D">
        <w:rPr>
          <w:rFonts w:ascii="Arial" w:hAnsi="Arial" w:cs="Arial"/>
        </w:rPr>
        <w:t>Wards</w:t>
      </w:r>
      <w:r w:rsidR="00673209">
        <w:rPr>
          <w:rFonts w:ascii="Arial" w:hAnsi="Arial" w:cs="Arial"/>
        </w:rPr>
        <w:t>; ii)</w:t>
      </w:r>
      <w:r w:rsidR="00430DAA" w:rsidRPr="00C5749D">
        <w:rPr>
          <w:rFonts w:ascii="Arial" w:hAnsi="Arial" w:cs="Arial"/>
        </w:rPr>
        <w:t xml:space="preserve"> the end of </w:t>
      </w:r>
      <w:r w:rsidR="00241953" w:rsidRPr="00C5749D">
        <w:rPr>
          <w:rFonts w:ascii="Arial" w:hAnsi="Arial" w:cs="Arial"/>
        </w:rPr>
        <w:t>the Council</w:t>
      </w:r>
      <w:r w:rsidR="00430DAA" w:rsidRPr="00C5749D">
        <w:rPr>
          <w:rFonts w:ascii="Arial" w:hAnsi="Arial" w:cs="Arial"/>
        </w:rPr>
        <w:t xml:space="preserve"> Tax disaggregation </w:t>
      </w:r>
      <w:r w:rsidR="008943E1">
        <w:rPr>
          <w:rFonts w:ascii="Arial" w:hAnsi="Arial" w:cs="Arial"/>
        </w:rPr>
        <w:t>in</w:t>
      </w:r>
      <w:r w:rsidR="00430DAA" w:rsidRPr="00C5749D">
        <w:rPr>
          <w:rFonts w:ascii="Arial" w:hAnsi="Arial" w:cs="Arial"/>
        </w:rPr>
        <w:t xml:space="preserve"> December 2023, </w:t>
      </w:r>
      <w:r w:rsidR="00034BAC" w:rsidRPr="00C5749D">
        <w:rPr>
          <w:rFonts w:ascii="Arial" w:hAnsi="Arial" w:cs="Arial"/>
        </w:rPr>
        <w:t>and</w:t>
      </w:r>
      <w:r w:rsidR="00673209">
        <w:rPr>
          <w:rFonts w:ascii="Arial" w:hAnsi="Arial" w:cs="Arial"/>
        </w:rPr>
        <w:t>; c)</w:t>
      </w:r>
      <w:r w:rsidR="00034BAC" w:rsidRPr="00C5749D">
        <w:rPr>
          <w:rFonts w:ascii="Arial" w:hAnsi="Arial" w:cs="Arial"/>
        </w:rPr>
        <w:t xml:space="preserve"> </w:t>
      </w:r>
      <w:r w:rsidR="007C1655" w:rsidRPr="00C5749D">
        <w:rPr>
          <w:rFonts w:ascii="Arial" w:hAnsi="Arial" w:cs="Arial"/>
        </w:rPr>
        <w:t xml:space="preserve">most small C4 HMOs </w:t>
      </w:r>
      <w:r w:rsidR="008943E1">
        <w:rPr>
          <w:rFonts w:ascii="Arial" w:hAnsi="Arial" w:cs="Arial"/>
        </w:rPr>
        <w:t>have been</w:t>
      </w:r>
      <w:r w:rsidR="00241953">
        <w:rPr>
          <w:rFonts w:ascii="Arial" w:hAnsi="Arial" w:cs="Arial"/>
        </w:rPr>
        <w:t xml:space="preserve"> </w:t>
      </w:r>
      <w:r w:rsidR="007C1655" w:rsidRPr="00C5749D">
        <w:rPr>
          <w:rFonts w:ascii="Arial" w:hAnsi="Arial" w:cs="Arial"/>
        </w:rPr>
        <w:t xml:space="preserve">converted from dwellinghouses under the permitted development rights </w:t>
      </w:r>
      <w:r w:rsidR="008943E1">
        <w:rPr>
          <w:rFonts w:ascii="Arial" w:hAnsi="Arial" w:cs="Arial"/>
        </w:rPr>
        <w:t xml:space="preserve">and </w:t>
      </w:r>
      <w:r w:rsidR="007C1655" w:rsidRPr="00C5749D">
        <w:rPr>
          <w:rFonts w:ascii="Arial" w:hAnsi="Arial" w:cs="Arial"/>
        </w:rPr>
        <w:t xml:space="preserve">are </w:t>
      </w:r>
      <w:r w:rsidR="008943E1">
        <w:rPr>
          <w:rFonts w:ascii="Arial" w:hAnsi="Arial" w:cs="Arial"/>
        </w:rPr>
        <w:t xml:space="preserve">therefore </w:t>
      </w:r>
      <w:r w:rsidR="007C1655" w:rsidRPr="00C5749D">
        <w:rPr>
          <w:rFonts w:ascii="Arial" w:hAnsi="Arial" w:cs="Arial"/>
        </w:rPr>
        <w:t>not recorded by the</w:t>
      </w:r>
      <w:r w:rsidR="00085A56" w:rsidRPr="00C5749D">
        <w:rPr>
          <w:rFonts w:ascii="Arial" w:hAnsi="Arial" w:cs="Arial"/>
        </w:rPr>
        <w:t xml:space="preserve"> Council’s planning department. </w:t>
      </w:r>
    </w:p>
    <w:p w14:paraId="6D13B50F" w14:textId="77777777" w:rsidR="00673209" w:rsidRDefault="00673209" w:rsidP="00C5749D">
      <w:pPr>
        <w:spacing w:after="0" w:line="300" w:lineRule="atLeast"/>
        <w:ind w:left="709" w:hanging="709"/>
        <w:rPr>
          <w:rFonts w:ascii="Arial" w:hAnsi="Arial" w:cs="Arial"/>
        </w:rPr>
      </w:pPr>
    </w:p>
    <w:p w14:paraId="313E6E57" w14:textId="4FF9468B" w:rsidR="00034BAC" w:rsidRDefault="00673209" w:rsidP="00C5749D">
      <w:pPr>
        <w:spacing w:after="0" w:line="300" w:lineRule="atLeast"/>
        <w:ind w:left="709" w:hanging="709"/>
        <w:rPr>
          <w:rFonts w:ascii="Arial" w:hAnsi="Arial" w:cs="Arial"/>
        </w:rPr>
      </w:pPr>
      <w:r>
        <w:rPr>
          <w:rFonts w:ascii="Arial" w:hAnsi="Arial" w:cs="Arial"/>
        </w:rPr>
        <w:t>5.15</w:t>
      </w:r>
      <w:r>
        <w:rPr>
          <w:rFonts w:ascii="Arial" w:hAnsi="Arial" w:cs="Arial"/>
        </w:rPr>
        <w:tab/>
      </w:r>
      <w:r w:rsidR="00034BAC" w:rsidRPr="00C5749D">
        <w:rPr>
          <w:rFonts w:ascii="Arial" w:hAnsi="Arial" w:cs="Arial"/>
        </w:rPr>
        <w:t xml:space="preserve">According to the HMO data available at the time when this evidence report </w:t>
      </w:r>
      <w:r w:rsidR="00241953">
        <w:rPr>
          <w:rFonts w:ascii="Arial" w:hAnsi="Arial" w:cs="Arial"/>
        </w:rPr>
        <w:t>has been</w:t>
      </w:r>
      <w:r w:rsidR="00034BAC" w:rsidRPr="00C5749D">
        <w:rPr>
          <w:rFonts w:ascii="Arial" w:hAnsi="Arial" w:cs="Arial"/>
        </w:rPr>
        <w:t xml:space="preserve"> produced, the </w:t>
      </w:r>
      <w:r w:rsidR="00241953">
        <w:rPr>
          <w:rFonts w:ascii="Arial" w:hAnsi="Arial" w:cs="Arial"/>
        </w:rPr>
        <w:t xml:space="preserve">approximate </w:t>
      </w:r>
      <w:r w:rsidR="00034BAC" w:rsidRPr="00C5749D">
        <w:rPr>
          <w:rFonts w:ascii="Arial" w:hAnsi="Arial" w:cs="Arial"/>
        </w:rPr>
        <w:t xml:space="preserve">distribution of HMOs known to the Council </w:t>
      </w:r>
      <w:r w:rsidR="00241953">
        <w:rPr>
          <w:rFonts w:ascii="Arial" w:hAnsi="Arial" w:cs="Arial"/>
        </w:rPr>
        <w:t xml:space="preserve">set out per Ward </w:t>
      </w:r>
      <w:r w:rsidR="00034BAC" w:rsidRPr="00C5749D">
        <w:rPr>
          <w:rFonts w:ascii="Arial" w:hAnsi="Arial" w:cs="Arial"/>
        </w:rPr>
        <w:t xml:space="preserve">are as follows: </w:t>
      </w:r>
    </w:p>
    <w:p w14:paraId="39288D2D" w14:textId="77777777" w:rsidR="004A4F0C" w:rsidRDefault="004A4F0C" w:rsidP="00C5749D">
      <w:pPr>
        <w:spacing w:after="0" w:line="300" w:lineRule="atLeast"/>
        <w:ind w:left="709" w:hanging="709"/>
        <w:rPr>
          <w:rFonts w:ascii="Arial" w:hAnsi="Arial" w:cs="Arial"/>
        </w:rPr>
      </w:pPr>
    </w:p>
    <w:p w14:paraId="5F166012" w14:textId="77777777" w:rsidR="004A4F0C" w:rsidRDefault="004A4F0C" w:rsidP="00C5749D">
      <w:pPr>
        <w:spacing w:after="0" w:line="300" w:lineRule="atLeast"/>
        <w:ind w:left="709" w:hanging="709"/>
        <w:rPr>
          <w:rFonts w:ascii="Arial" w:hAnsi="Arial" w:cs="Arial"/>
        </w:rPr>
      </w:pPr>
    </w:p>
    <w:p w14:paraId="0FD1AAAF" w14:textId="77777777" w:rsidR="004A4F0C" w:rsidRDefault="004A4F0C" w:rsidP="00C5749D">
      <w:pPr>
        <w:spacing w:after="0" w:line="300" w:lineRule="atLeast"/>
        <w:ind w:left="709" w:hanging="709"/>
        <w:rPr>
          <w:rFonts w:ascii="Arial" w:hAnsi="Arial" w:cs="Arial"/>
        </w:rPr>
      </w:pPr>
    </w:p>
    <w:p w14:paraId="4CF146D7" w14:textId="77777777" w:rsidR="004A4F0C" w:rsidRDefault="004A4F0C" w:rsidP="00C5749D">
      <w:pPr>
        <w:spacing w:after="0" w:line="300" w:lineRule="atLeast"/>
        <w:ind w:left="709" w:hanging="709"/>
        <w:rPr>
          <w:rFonts w:ascii="Arial" w:hAnsi="Arial" w:cs="Arial"/>
        </w:rPr>
      </w:pPr>
    </w:p>
    <w:p w14:paraId="7098A88C" w14:textId="77777777" w:rsidR="004A4F0C" w:rsidRDefault="004A4F0C" w:rsidP="00C5749D">
      <w:pPr>
        <w:spacing w:after="0" w:line="300" w:lineRule="atLeast"/>
        <w:ind w:left="709" w:hanging="709"/>
        <w:rPr>
          <w:rFonts w:ascii="Arial" w:hAnsi="Arial" w:cs="Arial"/>
        </w:rPr>
      </w:pPr>
    </w:p>
    <w:p w14:paraId="73A4A48B" w14:textId="77777777" w:rsidR="004A4F0C" w:rsidRDefault="004A4F0C" w:rsidP="00C5749D">
      <w:pPr>
        <w:spacing w:after="0" w:line="300" w:lineRule="atLeast"/>
        <w:ind w:left="709" w:hanging="709"/>
        <w:rPr>
          <w:rFonts w:ascii="Arial" w:hAnsi="Arial" w:cs="Arial"/>
        </w:rPr>
      </w:pPr>
    </w:p>
    <w:p w14:paraId="2DFDF256" w14:textId="77777777" w:rsidR="004A4F0C" w:rsidRDefault="004A4F0C" w:rsidP="00C5749D">
      <w:pPr>
        <w:spacing w:after="0" w:line="300" w:lineRule="atLeast"/>
        <w:ind w:left="709" w:hanging="709"/>
        <w:rPr>
          <w:rFonts w:ascii="Arial" w:hAnsi="Arial" w:cs="Arial"/>
        </w:rPr>
      </w:pPr>
    </w:p>
    <w:p w14:paraId="6731F417" w14:textId="77777777" w:rsidR="004A4F0C" w:rsidRDefault="004A4F0C" w:rsidP="00C5749D">
      <w:pPr>
        <w:spacing w:after="0" w:line="300" w:lineRule="atLeast"/>
        <w:ind w:left="709" w:hanging="709"/>
        <w:rPr>
          <w:rFonts w:ascii="Arial" w:hAnsi="Arial" w:cs="Arial"/>
        </w:rPr>
      </w:pPr>
    </w:p>
    <w:p w14:paraId="50A15FF3" w14:textId="77777777" w:rsidR="004A4F0C" w:rsidRDefault="004A4F0C" w:rsidP="00C5749D">
      <w:pPr>
        <w:spacing w:after="0" w:line="300" w:lineRule="atLeast"/>
        <w:ind w:left="709" w:hanging="709"/>
        <w:rPr>
          <w:rFonts w:ascii="Arial" w:hAnsi="Arial" w:cs="Arial"/>
        </w:rPr>
      </w:pPr>
    </w:p>
    <w:p w14:paraId="1D6483E8" w14:textId="77777777" w:rsidR="004A4F0C" w:rsidRDefault="004A4F0C" w:rsidP="00C5749D">
      <w:pPr>
        <w:spacing w:after="0" w:line="300" w:lineRule="atLeast"/>
        <w:ind w:left="709" w:hanging="709"/>
        <w:rPr>
          <w:rFonts w:ascii="Arial" w:hAnsi="Arial" w:cs="Arial"/>
        </w:rPr>
      </w:pPr>
    </w:p>
    <w:p w14:paraId="0D8B9074" w14:textId="77777777" w:rsidR="004A4F0C" w:rsidRDefault="004A4F0C" w:rsidP="00C5749D">
      <w:pPr>
        <w:spacing w:after="0" w:line="300" w:lineRule="atLeast"/>
        <w:ind w:left="709" w:hanging="709"/>
        <w:rPr>
          <w:rFonts w:ascii="Arial" w:hAnsi="Arial" w:cs="Arial"/>
        </w:rPr>
      </w:pPr>
    </w:p>
    <w:p w14:paraId="07AF949A" w14:textId="77777777" w:rsidR="004A4F0C" w:rsidRPr="00C5749D" w:rsidRDefault="004A4F0C" w:rsidP="00C5749D">
      <w:pPr>
        <w:spacing w:after="0" w:line="300" w:lineRule="atLeast"/>
        <w:ind w:left="709" w:hanging="709"/>
        <w:rPr>
          <w:rFonts w:ascii="Arial" w:hAnsi="Arial" w:cs="Arial"/>
        </w:rPr>
      </w:pPr>
    </w:p>
    <w:p w14:paraId="681F7956" w14:textId="77777777" w:rsidR="004A4F0C" w:rsidRDefault="004A4F0C" w:rsidP="00E810AA">
      <w:pPr>
        <w:pStyle w:val="ListParagraph"/>
        <w:spacing w:after="0" w:line="300" w:lineRule="atLeast"/>
        <w:ind w:left="709"/>
        <w:contextualSpacing w:val="0"/>
        <w:rPr>
          <w:rFonts w:ascii="Arial" w:hAnsi="Arial" w:cs="Arial"/>
        </w:rPr>
        <w:sectPr w:rsidR="004A4F0C" w:rsidSect="00132F6A">
          <w:headerReference w:type="default" r:id="rId8"/>
          <w:footerReference w:type="default" r:id="rId9"/>
          <w:pgSz w:w="11906" w:h="16838"/>
          <w:pgMar w:top="1440" w:right="1440" w:bottom="1440" w:left="1440" w:header="708" w:footer="708" w:gutter="0"/>
          <w:pgNumType w:start="1"/>
          <w:cols w:space="708"/>
          <w:docGrid w:linePitch="360"/>
        </w:sectPr>
      </w:pPr>
    </w:p>
    <w:p w14:paraId="431BE00A" w14:textId="6AAC3C71" w:rsidR="00827F9B" w:rsidRPr="004A4F0C" w:rsidRDefault="004A4F0C" w:rsidP="004A4F0C">
      <w:pPr>
        <w:pStyle w:val="Caption"/>
        <w:rPr>
          <w:rFonts w:ascii="Arial" w:hAnsi="Arial" w:cs="Arial"/>
          <w:b/>
          <w:bCs/>
          <w:i w:val="0"/>
          <w:iCs w:val="0"/>
          <w:color w:val="auto"/>
          <w:sz w:val="22"/>
          <w:szCs w:val="22"/>
        </w:rPr>
      </w:pPr>
      <w:r w:rsidRPr="004A4F0C">
        <w:rPr>
          <w:rFonts w:ascii="Arial" w:hAnsi="Arial" w:cs="Arial"/>
          <w:b/>
          <w:bCs/>
          <w:i w:val="0"/>
          <w:iCs w:val="0"/>
          <w:color w:val="auto"/>
          <w:sz w:val="22"/>
          <w:szCs w:val="22"/>
        </w:rPr>
        <w:lastRenderedPageBreak/>
        <w:t xml:space="preserve">Table </w:t>
      </w:r>
      <w:r w:rsidRPr="004A4F0C">
        <w:rPr>
          <w:rFonts w:ascii="Arial" w:hAnsi="Arial" w:cs="Arial"/>
          <w:b/>
          <w:bCs/>
          <w:i w:val="0"/>
          <w:iCs w:val="0"/>
          <w:color w:val="auto"/>
          <w:sz w:val="22"/>
          <w:szCs w:val="22"/>
        </w:rPr>
        <w:fldChar w:fldCharType="begin"/>
      </w:r>
      <w:r w:rsidRPr="004A4F0C">
        <w:rPr>
          <w:rFonts w:ascii="Arial" w:hAnsi="Arial" w:cs="Arial"/>
          <w:b/>
          <w:bCs/>
          <w:i w:val="0"/>
          <w:iCs w:val="0"/>
          <w:color w:val="auto"/>
          <w:sz w:val="22"/>
          <w:szCs w:val="22"/>
        </w:rPr>
        <w:instrText xml:space="preserve"> SEQ Table \* ARABIC </w:instrText>
      </w:r>
      <w:r w:rsidRPr="004A4F0C">
        <w:rPr>
          <w:rFonts w:ascii="Arial" w:hAnsi="Arial" w:cs="Arial"/>
          <w:b/>
          <w:bCs/>
          <w:i w:val="0"/>
          <w:iCs w:val="0"/>
          <w:color w:val="auto"/>
          <w:sz w:val="22"/>
          <w:szCs w:val="22"/>
        </w:rPr>
        <w:fldChar w:fldCharType="separate"/>
      </w:r>
      <w:r w:rsidRPr="004A4F0C">
        <w:rPr>
          <w:rFonts w:ascii="Arial" w:hAnsi="Arial" w:cs="Arial"/>
          <w:b/>
          <w:bCs/>
          <w:i w:val="0"/>
          <w:iCs w:val="0"/>
          <w:noProof/>
          <w:color w:val="auto"/>
          <w:sz w:val="22"/>
          <w:szCs w:val="22"/>
        </w:rPr>
        <w:t>1</w:t>
      </w:r>
      <w:r w:rsidRPr="004A4F0C">
        <w:rPr>
          <w:rFonts w:ascii="Arial" w:hAnsi="Arial" w:cs="Arial"/>
          <w:b/>
          <w:bCs/>
          <w:i w:val="0"/>
          <w:iCs w:val="0"/>
          <w:noProof/>
          <w:color w:val="auto"/>
          <w:sz w:val="22"/>
          <w:szCs w:val="22"/>
        </w:rPr>
        <w:fldChar w:fldCharType="end"/>
      </w:r>
      <w:r w:rsidRPr="004A4F0C">
        <w:rPr>
          <w:rFonts w:ascii="Arial" w:hAnsi="Arial" w:cs="Arial"/>
          <w:b/>
          <w:bCs/>
          <w:i w:val="0"/>
          <w:iCs w:val="0"/>
          <w:color w:val="auto"/>
          <w:sz w:val="22"/>
          <w:szCs w:val="22"/>
        </w:rPr>
        <w:t xml:space="preserve"> - Breakdown of HMOs in Hyndburn Borough by Ward - February 2026</w:t>
      </w:r>
    </w:p>
    <w:tbl>
      <w:tblPr>
        <w:tblW w:w="13980" w:type="dxa"/>
        <w:tblLook w:val="04A0" w:firstRow="1" w:lastRow="0" w:firstColumn="1" w:lastColumn="0" w:noHBand="0" w:noVBand="1"/>
      </w:tblPr>
      <w:tblGrid>
        <w:gridCol w:w="1680"/>
        <w:gridCol w:w="1580"/>
        <w:gridCol w:w="1600"/>
        <w:gridCol w:w="1380"/>
        <w:gridCol w:w="1600"/>
        <w:gridCol w:w="1480"/>
        <w:gridCol w:w="1880"/>
        <w:gridCol w:w="1820"/>
        <w:gridCol w:w="960"/>
      </w:tblGrid>
      <w:tr w:rsidR="004A4F0C" w:rsidRPr="004A4F0C" w14:paraId="706297D9" w14:textId="77777777" w:rsidTr="004A4F0C">
        <w:trPr>
          <w:trHeight w:val="576"/>
        </w:trPr>
        <w:tc>
          <w:tcPr>
            <w:tcW w:w="1680" w:type="dxa"/>
            <w:tcBorders>
              <w:top w:val="single" w:sz="4" w:space="0" w:color="auto"/>
              <w:left w:val="single" w:sz="4" w:space="0" w:color="auto"/>
              <w:bottom w:val="single" w:sz="4" w:space="0" w:color="auto"/>
              <w:right w:val="single" w:sz="4" w:space="0" w:color="auto"/>
            </w:tcBorders>
            <w:shd w:val="clear" w:color="000000" w:fill="7030A0"/>
            <w:hideMark/>
          </w:tcPr>
          <w:p w14:paraId="45714D49" w14:textId="77777777" w:rsidR="004A4F0C" w:rsidRPr="004A4F0C" w:rsidRDefault="004A4F0C" w:rsidP="004A4F0C">
            <w:pPr>
              <w:spacing w:after="0" w:line="240" w:lineRule="auto"/>
              <w:rPr>
                <w:rFonts w:ascii="Calibri" w:eastAsia="Times New Roman" w:hAnsi="Calibri" w:cs="Calibri"/>
                <w:b/>
                <w:bCs/>
                <w:color w:val="FFFFFF"/>
                <w:lang w:eastAsia="en-GB"/>
              </w:rPr>
            </w:pPr>
            <w:r w:rsidRPr="004A4F0C">
              <w:rPr>
                <w:rFonts w:ascii="Calibri" w:eastAsia="Times New Roman" w:hAnsi="Calibri" w:cs="Calibri"/>
                <w:b/>
                <w:bCs/>
                <w:color w:val="FFFFFF"/>
                <w:lang w:eastAsia="en-GB"/>
              </w:rPr>
              <w:t>Ward</w:t>
            </w:r>
          </w:p>
        </w:tc>
        <w:tc>
          <w:tcPr>
            <w:tcW w:w="1580" w:type="dxa"/>
            <w:tcBorders>
              <w:top w:val="single" w:sz="4" w:space="0" w:color="auto"/>
              <w:left w:val="nil"/>
              <w:bottom w:val="single" w:sz="4" w:space="0" w:color="auto"/>
              <w:right w:val="single" w:sz="4" w:space="0" w:color="auto"/>
            </w:tcBorders>
            <w:shd w:val="clear" w:color="000000" w:fill="7030A0"/>
            <w:hideMark/>
          </w:tcPr>
          <w:p w14:paraId="26AEC5D5" w14:textId="77777777" w:rsidR="004A4F0C" w:rsidRPr="004A4F0C" w:rsidRDefault="004A4F0C" w:rsidP="004A4F0C">
            <w:pPr>
              <w:spacing w:after="0" w:line="240" w:lineRule="auto"/>
              <w:rPr>
                <w:rFonts w:ascii="Calibri" w:eastAsia="Times New Roman" w:hAnsi="Calibri" w:cs="Calibri"/>
                <w:b/>
                <w:bCs/>
                <w:color w:val="FFFFFF"/>
                <w:lang w:eastAsia="en-GB"/>
              </w:rPr>
            </w:pPr>
            <w:r w:rsidRPr="004A4F0C">
              <w:rPr>
                <w:rFonts w:ascii="Calibri" w:eastAsia="Times New Roman" w:hAnsi="Calibri" w:cs="Calibri"/>
                <w:b/>
                <w:bCs/>
                <w:color w:val="FFFFFF"/>
                <w:lang w:eastAsia="en-GB"/>
              </w:rPr>
              <w:t>No. Large HMOs</w:t>
            </w:r>
          </w:p>
        </w:tc>
        <w:tc>
          <w:tcPr>
            <w:tcW w:w="1600" w:type="dxa"/>
            <w:tcBorders>
              <w:top w:val="single" w:sz="4" w:space="0" w:color="auto"/>
              <w:left w:val="nil"/>
              <w:bottom w:val="single" w:sz="4" w:space="0" w:color="auto"/>
              <w:right w:val="single" w:sz="4" w:space="0" w:color="auto"/>
            </w:tcBorders>
            <w:shd w:val="clear" w:color="000000" w:fill="7030A0"/>
            <w:hideMark/>
          </w:tcPr>
          <w:p w14:paraId="19E84DD4" w14:textId="77777777" w:rsidR="004A4F0C" w:rsidRPr="004A4F0C" w:rsidRDefault="004A4F0C" w:rsidP="004A4F0C">
            <w:pPr>
              <w:spacing w:after="0" w:line="240" w:lineRule="auto"/>
              <w:rPr>
                <w:rFonts w:ascii="Calibri" w:eastAsia="Times New Roman" w:hAnsi="Calibri" w:cs="Calibri"/>
                <w:b/>
                <w:bCs/>
                <w:color w:val="FFFFFF"/>
                <w:lang w:eastAsia="en-GB"/>
              </w:rPr>
            </w:pPr>
            <w:r w:rsidRPr="004A4F0C">
              <w:rPr>
                <w:rFonts w:ascii="Calibri" w:eastAsia="Times New Roman" w:hAnsi="Calibri" w:cs="Calibri"/>
                <w:b/>
                <w:bCs/>
                <w:color w:val="FFFFFF"/>
                <w:lang w:eastAsia="en-GB"/>
              </w:rPr>
              <w:t>No. Small HMOs</w:t>
            </w:r>
          </w:p>
        </w:tc>
        <w:tc>
          <w:tcPr>
            <w:tcW w:w="1380" w:type="dxa"/>
            <w:tcBorders>
              <w:top w:val="single" w:sz="4" w:space="0" w:color="auto"/>
              <w:left w:val="nil"/>
              <w:bottom w:val="single" w:sz="4" w:space="0" w:color="auto"/>
              <w:right w:val="single" w:sz="4" w:space="0" w:color="auto"/>
            </w:tcBorders>
            <w:shd w:val="clear" w:color="000000" w:fill="7030A0"/>
            <w:hideMark/>
          </w:tcPr>
          <w:p w14:paraId="7FFE827F" w14:textId="77777777" w:rsidR="004A4F0C" w:rsidRPr="004A4F0C" w:rsidRDefault="004A4F0C" w:rsidP="004A4F0C">
            <w:pPr>
              <w:spacing w:after="0" w:line="240" w:lineRule="auto"/>
              <w:rPr>
                <w:rFonts w:ascii="Calibri" w:eastAsia="Times New Roman" w:hAnsi="Calibri" w:cs="Calibri"/>
                <w:b/>
                <w:bCs/>
                <w:color w:val="FFFFFF"/>
                <w:lang w:eastAsia="en-GB"/>
              </w:rPr>
            </w:pPr>
            <w:r w:rsidRPr="004A4F0C">
              <w:rPr>
                <w:rFonts w:ascii="Calibri" w:eastAsia="Times New Roman" w:hAnsi="Calibri" w:cs="Calibri"/>
                <w:b/>
                <w:bCs/>
                <w:color w:val="FFFFFF"/>
                <w:lang w:eastAsia="en-GB"/>
              </w:rPr>
              <w:t>Total HMOs</w:t>
            </w:r>
          </w:p>
        </w:tc>
        <w:tc>
          <w:tcPr>
            <w:tcW w:w="1600" w:type="dxa"/>
            <w:tcBorders>
              <w:top w:val="single" w:sz="4" w:space="0" w:color="auto"/>
              <w:left w:val="nil"/>
              <w:bottom w:val="single" w:sz="4" w:space="0" w:color="auto"/>
              <w:right w:val="single" w:sz="4" w:space="0" w:color="auto"/>
            </w:tcBorders>
            <w:shd w:val="clear" w:color="000000" w:fill="7030A0"/>
            <w:hideMark/>
          </w:tcPr>
          <w:p w14:paraId="61E14316" w14:textId="77777777" w:rsidR="004A4F0C" w:rsidRPr="004A4F0C" w:rsidRDefault="004A4F0C" w:rsidP="004A4F0C">
            <w:pPr>
              <w:spacing w:after="0" w:line="240" w:lineRule="auto"/>
              <w:rPr>
                <w:rFonts w:ascii="Calibri" w:eastAsia="Times New Roman" w:hAnsi="Calibri" w:cs="Calibri"/>
                <w:b/>
                <w:bCs/>
                <w:color w:val="FFFFFF"/>
                <w:lang w:eastAsia="en-GB"/>
              </w:rPr>
            </w:pPr>
            <w:r w:rsidRPr="004A4F0C">
              <w:rPr>
                <w:rFonts w:ascii="Calibri" w:eastAsia="Times New Roman" w:hAnsi="Calibri" w:cs="Calibri"/>
                <w:b/>
                <w:bCs/>
                <w:color w:val="FFFFFF"/>
                <w:lang w:eastAsia="en-GB"/>
              </w:rPr>
              <w:t>% of total HMO in the Boroughs</w:t>
            </w:r>
          </w:p>
        </w:tc>
        <w:tc>
          <w:tcPr>
            <w:tcW w:w="1480" w:type="dxa"/>
            <w:tcBorders>
              <w:top w:val="single" w:sz="4" w:space="0" w:color="auto"/>
              <w:left w:val="nil"/>
              <w:bottom w:val="single" w:sz="4" w:space="0" w:color="auto"/>
              <w:right w:val="single" w:sz="4" w:space="0" w:color="auto"/>
            </w:tcBorders>
            <w:shd w:val="clear" w:color="000000" w:fill="7030A0"/>
            <w:hideMark/>
          </w:tcPr>
          <w:p w14:paraId="19D79410" w14:textId="77777777" w:rsidR="004A4F0C" w:rsidRPr="004A4F0C" w:rsidRDefault="004A4F0C" w:rsidP="004A4F0C">
            <w:pPr>
              <w:spacing w:after="0" w:line="240" w:lineRule="auto"/>
              <w:rPr>
                <w:rFonts w:ascii="Calibri" w:eastAsia="Times New Roman" w:hAnsi="Calibri" w:cs="Calibri"/>
                <w:b/>
                <w:bCs/>
                <w:color w:val="FFFFFF"/>
                <w:lang w:eastAsia="en-GB"/>
              </w:rPr>
            </w:pPr>
            <w:r w:rsidRPr="004A4F0C">
              <w:rPr>
                <w:rFonts w:ascii="Calibri" w:eastAsia="Times New Roman" w:hAnsi="Calibri" w:cs="Calibri"/>
                <w:b/>
                <w:bCs/>
                <w:color w:val="FFFFFF"/>
                <w:lang w:eastAsia="en-GB"/>
              </w:rPr>
              <w:t>Rank</w:t>
            </w:r>
          </w:p>
        </w:tc>
        <w:tc>
          <w:tcPr>
            <w:tcW w:w="1880" w:type="dxa"/>
            <w:tcBorders>
              <w:top w:val="single" w:sz="4" w:space="0" w:color="auto"/>
              <w:left w:val="nil"/>
              <w:bottom w:val="single" w:sz="4" w:space="0" w:color="auto"/>
              <w:right w:val="single" w:sz="4" w:space="0" w:color="auto"/>
            </w:tcBorders>
            <w:shd w:val="clear" w:color="000000" w:fill="7030A0"/>
            <w:hideMark/>
          </w:tcPr>
          <w:p w14:paraId="7E57E0F5" w14:textId="191792E4" w:rsidR="004A4F0C" w:rsidRPr="004A4F0C" w:rsidRDefault="004A4F0C" w:rsidP="004A4F0C">
            <w:pPr>
              <w:spacing w:after="0" w:line="240" w:lineRule="auto"/>
              <w:rPr>
                <w:rFonts w:ascii="Calibri" w:eastAsia="Times New Roman" w:hAnsi="Calibri" w:cs="Calibri"/>
                <w:b/>
                <w:bCs/>
                <w:color w:val="FFFFFF"/>
                <w:lang w:eastAsia="en-GB"/>
              </w:rPr>
            </w:pPr>
            <w:r w:rsidRPr="004A4F0C">
              <w:rPr>
                <w:rFonts w:ascii="Calibri" w:eastAsia="Times New Roman" w:hAnsi="Calibri" w:cs="Calibri"/>
                <w:b/>
                <w:bCs/>
                <w:color w:val="FFFFFF"/>
                <w:lang w:eastAsia="en-GB"/>
              </w:rPr>
              <w:t>Total Households</w:t>
            </w:r>
            <w:r>
              <w:rPr>
                <w:rFonts w:ascii="Calibri" w:eastAsia="Times New Roman" w:hAnsi="Calibri" w:cs="Calibri"/>
                <w:b/>
                <w:bCs/>
                <w:color w:val="FFFFFF"/>
                <w:lang w:eastAsia="en-GB"/>
              </w:rPr>
              <w:t xml:space="preserve"> (Census 2021)</w:t>
            </w:r>
          </w:p>
        </w:tc>
        <w:tc>
          <w:tcPr>
            <w:tcW w:w="1820" w:type="dxa"/>
            <w:tcBorders>
              <w:top w:val="single" w:sz="4" w:space="0" w:color="auto"/>
              <w:left w:val="nil"/>
              <w:bottom w:val="single" w:sz="4" w:space="0" w:color="auto"/>
              <w:right w:val="single" w:sz="4" w:space="0" w:color="auto"/>
            </w:tcBorders>
            <w:shd w:val="clear" w:color="000000" w:fill="7030A0"/>
            <w:hideMark/>
          </w:tcPr>
          <w:p w14:paraId="0C5E0B39" w14:textId="77777777" w:rsidR="004A4F0C" w:rsidRPr="004A4F0C" w:rsidRDefault="004A4F0C" w:rsidP="004A4F0C">
            <w:pPr>
              <w:spacing w:after="0" w:line="240" w:lineRule="auto"/>
              <w:rPr>
                <w:rFonts w:ascii="Calibri" w:eastAsia="Times New Roman" w:hAnsi="Calibri" w:cs="Calibri"/>
                <w:b/>
                <w:bCs/>
                <w:color w:val="FFFFFF"/>
                <w:lang w:eastAsia="en-GB"/>
              </w:rPr>
            </w:pPr>
            <w:r w:rsidRPr="004A4F0C">
              <w:rPr>
                <w:rFonts w:ascii="Calibri" w:eastAsia="Times New Roman" w:hAnsi="Calibri" w:cs="Calibri"/>
                <w:b/>
                <w:bCs/>
                <w:color w:val="FFFFFF"/>
                <w:lang w:eastAsia="en-GB"/>
              </w:rPr>
              <w:t>% of Households that are HMOs</w:t>
            </w:r>
          </w:p>
        </w:tc>
        <w:tc>
          <w:tcPr>
            <w:tcW w:w="960" w:type="dxa"/>
            <w:tcBorders>
              <w:top w:val="single" w:sz="4" w:space="0" w:color="auto"/>
              <w:left w:val="nil"/>
              <w:bottom w:val="single" w:sz="4" w:space="0" w:color="auto"/>
              <w:right w:val="single" w:sz="4" w:space="0" w:color="auto"/>
            </w:tcBorders>
            <w:shd w:val="clear" w:color="000000" w:fill="7030A0"/>
            <w:hideMark/>
          </w:tcPr>
          <w:p w14:paraId="0EE132B2" w14:textId="77777777" w:rsidR="004A4F0C" w:rsidRPr="004A4F0C" w:rsidRDefault="004A4F0C" w:rsidP="004A4F0C">
            <w:pPr>
              <w:spacing w:after="0" w:line="240" w:lineRule="auto"/>
              <w:rPr>
                <w:rFonts w:ascii="Calibri" w:eastAsia="Times New Roman" w:hAnsi="Calibri" w:cs="Calibri"/>
                <w:b/>
                <w:bCs/>
                <w:color w:val="FFFFFF"/>
                <w:lang w:eastAsia="en-GB"/>
              </w:rPr>
            </w:pPr>
            <w:r w:rsidRPr="004A4F0C">
              <w:rPr>
                <w:rFonts w:ascii="Calibri" w:eastAsia="Times New Roman" w:hAnsi="Calibri" w:cs="Calibri"/>
                <w:b/>
                <w:bCs/>
                <w:color w:val="FFFFFF"/>
                <w:lang w:eastAsia="en-GB"/>
              </w:rPr>
              <w:t>Rank</w:t>
            </w:r>
          </w:p>
        </w:tc>
      </w:tr>
      <w:tr w:rsidR="004A4F0C" w:rsidRPr="004A4F0C" w14:paraId="2605E86F" w14:textId="77777777" w:rsidTr="004A4F0C">
        <w:trPr>
          <w:trHeight w:val="288"/>
        </w:trPr>
        <w:tc>
          <w:tcPr>
            <w:tcW w:w="1680" w:type="dxa"/>
            <w:tcBorders>
              <w:top w:val="nil"/>
              <w:left w:val="single" w:sz="4" w:space="0" w:color="auto"/>
              <w:bottom w:val="single" w:sz="4" w:space="0" w:color="auto"/>
              <w:right w:val="single" w:sz="4" w:space="0" w:color="auto"/>
            </w:tcBorders>
            <w:shd w:val="clear" w:color="000000" w:fill="E4DFEC"/>
            <w:noWrap/>
            <w:vAlign w:val="bottom"/>
            <w:hideMark/>
          </w:tcPr>
          <w:p w14:paraId="11686116" w14:textId="77777777" w:rsidR="004A4F0C" w:rsidRPr="004A4F0C" w:rsidRDefault="004A4F0C" w:rsidP="004A4F0C">
            <w:pPr>
              <w:spacing w:after="0" w:line="240" w:lineRule="auto"/>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Altham</w:t>
            </w:r>
          </w:p>
        </w:tc>
        <w:tc>
          <w:tcPr>
            <w:tcW w:w="1580" w:type="dxa"/>
            <w:tcBorders>
              <w:top w:val="nil"/>
              <w:left w:val="nil"/>
              <w:bottom w:val="single" w:sz="4" w:space="0" w:color="auto"/>
              <w:right w:val="single" w:sz="4" w:space="0" w:color="auto"/>
            </w:tcBorders>
            <w:shd w:val="clear" w:color="000000" w:fill="E4DFEC"/>
            <w:noWrap/>
            <w:vAlign w:val="bottom"/>
            <w:hideMark/>
          </w:tcPr>
          <w:p w14:paraId="6C614934"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w:t>
            </w:r>
          </w:p>
        </w:tc>
        <w:tc>
          <w:tcPr>
            <w:tcW w:w="1600" w:type="dxa"/>
            <w:tcBorders>
              <w:top w:val="nil"/>
              <w:left w:val="nil"/>
              <w:bottom w:val="single" w:sz="4" w:space="0" w:color="auto"/>
              <w:right w:val="single" w:sz="4" w:space="0" w:color="auto"/>
            </w:tcBorders>
            <w:shd w:val="clear" w:color="000000" w:fill="E4DFEC"/>
            <w:noWrap/>
            <w:vAlign w:val="bottom"/>
            <w:hideMark/>
          </w:tcPr>
          <w:p w14:paraId="6B424347"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13</w:t>
            </w:r>
          </w:p>
        </w:tc>
        <w:tc>
          <w:tcPr>
            <w:tcW w:w="1380" w:type="dxa"/>
            <w:tcBorders>
              <w:top w:val="nil"/>
              <w:left w:val="nil"/>
              <w:bottom w:val="single" w:sz="4" w:space="0" w:color="auto"/>
              <w:right w:val="single" w:sz="4" w:space="0" w:color="auto"/>
            </w:tcBorders>
            <w:shd w:val="clear" w:color="000000" w:fill="E4DFEC"/>
            <w:noWrap/>
            <w:vAlign w:val="bottom"/>
            <w:hideMark/>
          </w:tcPr>
          <w:p w14:paraId="681BF081"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13</w:t>
            </w:r>
          </w:p>
        </w:tc>
        <w:tc>
          <w:tcPr>
            <w:tcW w:w="1600" w:type="dxa"/>
            <w:tcBorders>
              <w:top w:val="nil"/>
              <w:left w:val="nil"/>
              <w:bottom w:val="single" w:sz="4" w:space="0" w:color="auto"/>
              <w:right w:val="single" w:sz="4" w:space="0" w:color="auto"/>
            </w:tcBorders>
            <w:shd w:val="clear" w:color="000000" w:fill="E4DFEC"/>
            <w:noWrap/>
            <w:vAlign w:val="bottom"/>
            <w:hideMark/>
          </w:tcPr>
          <w:p w14:paraId="12E66C7E"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2.59%</w:t>
            </w:r>
          </w:p>
        </w:tc>
        <w:tc>
          <w:tcPr>
            <w:tcW w:w="1480" w:type="dxa"/>
            <w:tcBorders>
              <w:top w:val="nil"/>
              <w:left w:val="nil"/>
              <w:bottom w:val="single" w:sz="4" w:space="0" w:color="auto"/>
              <w:right w:val="single" w:sz="4" w:space="0" w:color="auto"/>
            </w:tcBorders>
            <w:shd w:val="clear" w:color="000000" w:fill="E4DFEC"/>
            <w:noWrap/>
            <w:vAlign w:val="bottom"/>
            <w:hideMark/>
          </w:tcPr>
          <w:p w14:paraId="2CDCD945"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13</w:t>
            </w:r>
          </w:p>
        </w:tc>
        <w:tc>
          <w:tcPr>
            <w:tcW w:w="1880" w:type="dxa"/>
            <w:tcBorders>
              <w:top w:val="nil"/>
              <w:left w:val="nil"/>
              <w:bottom w:val="single" w:sz="4" w:space="0" w:color="auto"/>
              <w:right w:val="single" w:sz="4" w:space="0" w:color="auto"/>
            </w:tcBorders>
            <w:shd w:val="clear" w:color="000000" w:fill="E4DFEC"/>
            <w:noWrap/>
            <w:vAlign w:val="bottom"/>
            <w:hideMark/>
          </w:tcPr>
          <w:p w14:paraId="2F87E816"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2,210</w:t>
            </w:r>
          </w:p>
        </w:tc>
        <w:tc>
          <w:tcPr>
            <w:tcW w:w="1820" w:type="dxa"/>
            <w:tcBorders>
              <w:top w:val="nil"/>
              <w:left w:val="nil"/>
              <w:bottom w:val="single" w:sz="4" w:space="0" w:color="auto"/>
              <w:right w:val="single" w:sz="4" w:space="0" w:color="auto"/>
            </w:tcBorders>
            <w:shd w:val="clear" w:color="000000" w:fill="E4DFEC"/>
            <w:noWrap/>
            <w:vAlign w:val="bottom"/>
            <w:hideMark/>
          </w:tcPr>
          <w:p w14:paraId="0BDF5A6E"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0.59%</w:t>
            </w:r>
          </w:p>
        </w:tc>
        <w:tc>
          <w:tcPr>
            <w:tcW w:w="960" w:type="dxa"/>
            <w:tcBorders>
              <w:top w:val="nil"/>
              <w:left w:val="nil"/>
              <w:bottom w:val="single" w:sz="4" w:space="0" w:color="auto"/>
              <w:right w:val="single" w:sz="4" w:space="0" w:color="auto"/>
            </w:tcBorders>
            <w:shd w:val="clear" w:color="000000" w:fill="E4DFEC"/>
            <w:noWrap/>
            <w:vAlign w:val="bottom"/>
            <w:hideMark/>
          </w:tcPr>
          <w:p w14:paraId="129CD78D"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13</w:t>
            </w:r>
          </w:p>
        </w:tc>
      </w:tr>
      <w:tr w:rsidR="004A4F0C" w:rsidRPr="004A4F0C" w14:paraId="15395079" w14:textId="77777777" w:rsidTr="004A4F0C">
        <w:trPr>
          <w:trHeight w:val="288"/>
        </w:trPr>
        <w:tc>
          <w:tcPr>
            <w:tcW w:w="1680" w:type="dxa"/>
            <w:tcBorders>
              <w:top w:val="nil"/>
              <w:left w:val="single" w:sz="4" w:space="0" w:color="auto"/>
              <w:bottom w:val="single" w:sz="4" w:space="0" w:color="auto"/>
              <w:right w:val="single" w:sz="4" w:space="0" w:color="auto"/>
            </w:tcBorders>
            <w:noWrap/>
            <w:vAlign w:val="bottom"/>
            <w:hideMark/>
          </w:tcPr>
          <w:p w14:paraId="4BB2A43E"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Barnfield</w:t>
            </w:r>
          </w:p>
        </w:tc>
        <w:tc>
          <w:tcPr>
            <w:tcW w:w="1580" w:type="dxa"/>
            <w:tcBorders>
              <w:top w:val="nil"/>
              <w:left w:val="nil"/>
              <w:bottom w:val="single" w:sz="4" w:space="0" w:color="auto"/>
              <w:right w:val="single" w:sz="4" w:space="0" w:color="auto"/>
            </w:tcBorders>
            <w:noWrap/>
            <w:vAlign w:val="bottom"/>
            <w:hideMark/>
          </w:tcPr>
          <w:p w14:paraId="1F53C806"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6</w:t>
            </w:r>
          </w:p>
        </w:tc>
        <w:tc>
          <w:tcPr>
            <w:tcW w:w="1600" w:type="dxa"/>
            <w:tcBorders>
              <w:top w:val="nil"/>
              <w:left w:val="nil"/>
              <w:bottom w:val="single" w:sz="4" w:space="0" w:color="auto"/>
              <w:right w:val="single" w:sz="4" w:space="0" w:color="auto"/>
            </w:tcBorders>
            <w:noWrap/>
            <w:vAlign w:val="bottom"/>
            <w:hideMark/>
          </w:tcPr>
          <w:p w14:paraId="6C2D5E6D"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53</w:t>
            </w:r>
          </w:p>
        </w:tc>
        <w:tc>
          <w:tcPr>
            <w:tcW w:w="1380" w:type="dxa"/>
            <w:tcBorders>
              <w:top w:val="nil"/>
              <w:left w:val="nil"/>
              <w:bottom w:val="single" w:sz="4" w:space="0" w:color="auto"/>
              <w:right w:val="single" w:sz="4" w:space="0" w:color="auto"/>
            </w:tcBorders>
            <w:noWrap/>
            <w:vAlign w:val="bottom"/>
            <w:hideMark/>
          </w:tcPr>
          <w:p w14:paraId="238C6A0B"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59</w:t>
            </w:r>
          </w:p>
        </w:tc>
        <w:tc>
          <w:tcPr>
            <w:tcW w:w="1600" w:type="dxa"/>
            <w:tcBorders>
              <w:top w:val="nil"/>
              <w:left w:val="nil"/>
              <w:bottom w:val="single" w:sz="4" w:space="0" w:color="auto"/>
              <w:right w:val="single" w:sz="4" w:space="0" w:color="auto"/>
            </w:tcBorders>
            <w:noWrap/>
            <w:vAlign w:val="bottom"/>
            <w:hideMark/>
          </w:tcPr>
          <w:p w14:paraId="5CCCF7F1"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11.75%</w:t>
            </w:r>
          </w:p>
        </w:tc>
        <w:tc>
          <w:tcPr>
            <w:tcW w:w="1480" w:type="dxa"/>
            <w:tcBorders>
              <w:top w:val="nil"/>
              <w:left w:val="nil"/>
              <w:bottom w:val="single" w:sz="4" w:space="0" w:color="auto"/>
              <w:right w:val="single" w:sz="4" w:space="0" w:color="auto"/>
            </w:tcBorders>
            <w:noWrap/>
            <w:vAlign w:val="bottom"/>
            <w:hideMark/>
          </w:tcPr>
          <w:p w14:paraId="3E50D17C" w14:textId="77777777" w:rsidR="004A4F0C" w:rsidRPr="004A4F0C" w:rsidRDefault="004A4F0C" w:rsidP="004A4F0C">
            <w:pPr>
              <w:spacing w:after="0" w:line="240" w:lineRule="auto"/>
              <w:jc w:val="right"/>
              <w:rPr>
                <w:rFonts w:ascii="Calibri" w:eastAsia="Times New Roman" w:hAnsi="Calibri" w:cs="Calibri"/>
                <w:lang w:eastAsia="en-GB"/>
              </w:rPr>
            </w:pPr>
            <w:r w:rsidRPr="004A4F0C">
              <w:rPr>
                <w:rFonts w:ascii="Calibri" w:eastAsia="Times New Roman" w:hAnsi="Calibri" w:cs="Calibri"/>
                <w:lang w:eastAsia="en-GB"/>
              </w:rPr>
              <w:t>1</w:t>
            </w:r>
          </w:p>
        </w:tc>
        <w:tc>
          <w:tcPr>
            <w:tcW w:w="1880" w:type="dxa"/>
            <w:tcBorders>
              <w:top w:val="nil"/>
              <w:left w:val="nil"/>
              <w:bottom w:val="single" w:sz="4" w:space="0" w:color="auto"/>
              <w:right w:val="single" w:sz="4" w:space="0" w:color="auto"/>
            </w:tcBorders>
            <w:noWrap/>
            <w:vAlign w:val="bottom"/>
            <w:hideMark/>
          </w:tcPr>
          <w:p w14:paraId="3D816255"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1,910</w:t>
            </w:r>
          </w:p>
        </w:tc>
        <w:tc>
          <w:tcPr>
            <w:tcW w:w="1820" w:type="dxa"/>
            <w:tcBorders>
              <w:top w:val="nil"/>
              <w:left w:val="nil"/>
              <w:bottom w:val="single" w:sz="4" w:space="0" w:color="auto"/>
              <w:right w:val="single" w:sz="4" w:space="0" w:color="auto"/>
            </w:tcBorders>
            <w:noWrap/>
            <w:vAlign w:val="bottom"/>
            <w:hideMark/>
          </w:tcPr>
          <w:p w14:paraId="27A61A04"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3.09%</w:t>
            </w:r>
          </w:p>
        </w:tc>
        <w:tc>
          <w:tcPr>
            <w:tcW w:w="960" w:type="dxa"/>
            <w:tcBorders>
              <w:top w:val="nil"/>
              <w:left w:val="nil"/>
              <w:bottom w:val="single" w:sz="4" w:space="0" w:color="auto"/>
              <w:right w:val="single" w:sz="4" w:space="0" w:color="auto"/>
            </w:tcBorders>
            <w:noWrap/>
            <w:vAlign w:val="bottom"/>
            <w:hideMark/>
          </w:tcPr>
          <w:p w14:paraId="2A40DBB4"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w:t>
            </w:r>
          </w:p>
        </w:tc>
      </w:tr>
      <w:tr w:rsidR="004A4F0C" w:rsidRPr="004A4F0C" w14:paraId="2D2F999F" w14:textId="77777777" w:rsidTr="004A4F0C">
        <w:trPr>
          <w:trHeight w:val="288"/>
        </w:trPr>
        <w:tc>
          <w:tcPr>
            <w:tcW w:w="1680" w:type="dxa"/>
            <w:tcBorders>
              <w:top w:val="nil"/>
              <w:left w:val="single" w:sz="4" w:space="0" w:color="auto"/>
              <w:bottom w:val="single" w:sz="4" w:space="0" w:color="auto"/>
              <w:right w:val="single" w:sz="4" w:space="0" w:color="auto"/>
            </w:tcBorders>
            <w:shd w:val="clear" w:color="000000" w:fill="E4DFEC"/>
            <w:noWrap/>
            <w:vAlign w:val="bottom"/>
            <w:hideMark/>
          </w:tcPr>
          <w:p w14:paraId="52D101C1" w14:textId="77777777" w:rsidR="004A4F0C" w:rsidRPr="004A4F0C" w:rsidRDefault="004A4F0C" w:rsidP="004A4F0C">
            <w:pPr>
              <w:spacing w:after="0" w:line="240" w:lineRule="auto"/>
              <w:rPr>
                <w:rFonts w:ascii="Calibri" w:eastAsia="Times New Roman" w:hAnsi="Calibri" w:cs="Calibri"/>
                <w:b/>
                <w:bCs/>
                <w:color w:val="7030A0"/>
                <w:lang w:eastAsia="en-GB"/>
              </w:rPr>
            </w:pPr>
            <w:proofErr w:type="spellStart"/>
            <w:r w:rsidRPr="004A4F0C">
              <w:rPr>
                <w:rFonts w:ascii="Calibri" w:eastAsia="Times New Roman" w:hAnsi="Calibri" w:cs="Calibri"/>
                <w:b/>
                <w:bCs/>
                <w:color w:val="7030A0"/>
                <w:lang w:eastAsia="en-GB"/>
              </w:rPr>
              <w:t>Baxenden</w:t>
            </w:r>
            <w:proofErr w:type="spellEnd"/>
          </w:p>
        </w:tc>
        <w:tc>
          <w:tcPr>
            <w:tcW w:w="1580" w:type="dxa"/>
            <w:tcBorders>
              <w:top w:val="nil"/>
              <w:left w:val="nil"/>
              <w:bottom w:val="single" w:sz="4" w:space="0" w:color="auto"/>
              <w:right w:val="single" w:sz="4" w:space="0" w:color="auto"/>
            </w:tcBorders>
            <w:shd w:val="clear" w:color="000000" w:fill="E4DFEC"/>
            <w:noWrap/>
            <w:vAlign w:val="bottom"/>
            <w:hideMark/>
          </w:tcPr>
          <w:p w14:paraId="373D341D"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w:t>
            </w:r>
          </w:p>
        </w:tc>
        <w:tc>
          <w:tcPr>
            <w:tcW w:w="1600" w:type="dxa"/>
            <w:tcBorders>
              <w:top w:val="nil"/>
              <w:left w:val="nil"/>
              <w:bottom w:val="single" w:sz="4" w:space="0" w:color="auto"/>
              <w:right w:val="single" w:sz="4" w:space="0" w:color="auto"/>
            </w:tcBorders>
            <w:shd w:val="clear" w:color="000000" w:fill="E4DFEC"/>
            <w:noWrap/>
            <w:vAlign w:val="bottom"/>
            <w:hideMark/>
          </w:tcPr>
          <w:p w14:paraId="4204FEB2"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6</w:t>
            </w:r>
          </w:p>
        </w:tc>
        <w:tc>
          <w:tcPr>
            <w:tcW w:w="1380" w:type="dxa"/>
            <w:tcBorders>
              <w:top w:val="nil"/>
              <w:left w:val="nil"/>
              <w:bottom w:val="single" w:sz="4" w:space="0" w:color="auto"/>
              <w:right w:val="single" w:sz="4" w:space="0" w:color="auto"/>
            </w:tcBorders>
            <w:shd w:val="clear" w:color="000000" w:fill="E4DFEC"/>
            <w:noWrap/>
            <w:vAlign w:val="bottom"/>
            <w:hideMark/>
          </w:tcPr>
          <w:p w14:paraId="54ABDB6A"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6</w:t>
            </w:r>
          </w:p>
        </w:tc>
        <w:tc>
          <w:tcPr>
            <w:tcW w:w="1600" w:type="dxa"/>
            <w:tcBorders>
              <w:top w:val="nil"/>
              <w:left w:val="nil"/>
              <w:bottom w:val="single" w:sz="4" w:space="0" w:color="auto"/>
              <w:right w:val="single" w:sz="4" w:space="0" w:color="auto"/>
            </w:tcBorders>
            <w:shd w:val="clear" w:color="000000" w:fill="E4DFEC"/>
            <w:noWrap/>
            <w:vAlign w:val="bottom"/>
            <w:hideMark/>
          </w:tcPr>
          <w:p w14:paraId="600D48CC"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1.20%</w:t>
            </w:r>
          </w:p>
        </w:tc>
        <w:tc>
          <w:tcPr>
            <w:tcW w:w="1480" w:type="dxa"/>
            <w:tcBorders>
              <w:top w:val="nil"/>
              <w:left w:val="nil"/>
              <w:bottom w:val="single" w:sz="4" w:space="0" w:color="auto"/>
              <w:right w:val="single" w:sz="4" w:space="0" w:color="auto"/>
            </w:tcBorders>
            <w:shd w:val="clear" w:color="000000" w:fill="E4DFEC"/>
            <w:noWrap/>
            <w:vAlign w:val="bottom"/>
            <w:hideMark/>
          </w:tcPr>
          <w:p w14:paraId="78AEAB66"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16</w:t>
            </w:r>
          </w:p>
        </w:tc>
        <w:tc>
          <w:tcPr>
            <w:tcW w:w="1880" w:type="dxa"/>
            <w:tcBorders>
              <w:top w:val="nil"/>
              <w:left w:val="nil"/>
              <w:bottom w:val="single" w:sz="4" w:space="0" w:color="auto"/>
              <w:right w:val="single" w:sz="4" w:space="0" w:color="auto"/>
            </w:tcBorders>
            <w:shd w:val="clear" w:color="000000" w:fill="E4DFEC"/>
            <w:noWrap/>
            <w:vAlign w:val="bottom"/>
            <w:hideMark/>
          </w:tcPr>
          <w:p w14:paraId="5FF25A78"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1,720</w:t>
            </w:r>
          </w:p>
        </w:tc>
        <w:tc>
          <w:tcPr>
            <w:tcW w:w="1820" w:type="dxa"/>
            <w:tcBorders>
              <w:top w:val="nil"/>
              <w:left w:val="nil"/>
              <w:bottom w:val="single" w:sz="4" w:space="0" w:color="auto"/>
              <w:right w:val="single" w:sz="4" w:space="0" w:color="auto"/>
            </w:tcBorders>
            <w:shd w:val="clear" w:color="000000" w:fill="E4DFEC"/>
            <w:noWrap/>
            <w:vAlign w:val="bottom"/>
            <w:hideMark/>
          </w:tcPr>
          <w:p w14:paraId="6F859584"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0.35%</w:t>
            </w:r>
          </w:p>
        </w:tc>
        <w:tc>
          <w:tcPr>
            <w:tcW w:w="960" w:type="dxa"/>
            <w:tcBorders>
              <w:top w:val="nil"/>
              <w:left w:val="nil"/>
              <w:bottom w:val="single" w:sz="4" w:space="0" w:color="auto"/>
              <w:right w:val="single" w:sz="4" w:space="0" w:color="auto"/>
            </w:tcBorders>
            <w:shd w:val="clear" w:color="000000" w:fill="E4DFEC"/>
            <w:noWrap/>
            <w:vAlign w:val="bottom"/>
            <w:hideMark/>
          </w:tcPr>
          <w:p w14:paraId="72C5E6AE"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16</w:t>
            </w:r>
          </w:p>
        </w:tc>
      </w:tr>
      <w:tr w:rsidR="004A4F0C" w:rsidRPr="004A4F0C" w14:paraId="6F53C126" w14:textId="77777777" w:rsidTr="004A4F0C">
        <w:trPr>
          <w:trHeight w:val="288"/>
        </w:trPr>
        <w:tc>
          <w:tcPr>
            <w:tcW w:w="1680" w:type="dxa"/>
            <w:tcBorders>
              <w:top w:val="nil"/>
              <w:left w:val="single" w:sz="4" w:space="0" w:color="auto"/>
              <w:bottom w:val="single" w:sz="4" w:space="0" w:color="auto"/>
              <w:right w:val="single" w:sz="4" w:space="0" w:color="auto"/>
            </w:tcBorders>
            <w:noWrap/>
            <w:vAlign w:val="bottom"/>
            <w:hideMark/>
          </w:tcPr>
          <w:p w14:paraId="16253EB5"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Central</w:t>
            </w:r>
          </w:p>
        </w:tc>
        <w:tc>
          <w:tcPr>
            <w:tcW w:w="1580" w:type="dxa"/>
            <w:tcBorders>
              <w:top w:val="nil"/>
              <w:left w:val="nil"/>
              <w:bottom w:val="single" w:sz="4" w:space="0" w:color="auto"/>
              <w:right w:val="single" w:sz="4" w:space="0" w:color="auto"/>
            </w:tcBorders>
            <w:noWrap/>
            <w:vAlign w:val="bottom"/>
            <w:hideMark/>
          </w:tcPr>
          <w:p w14:paraId="2DE36658"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3</w:t>
            </w:r>
          </w:p>
        </w:tc>
        <w:tc>
          <w:tcPr>
            <w:tcW w:w="1600" w:type="dxa"/>
            <w:tcBorders>
              <w:top w:val="nil"/>
              <w:left w:val="nil"/>
              <w:bottom w:val="single" w:sz="4" w:space="0" w:color="auto"/>
              <w:right w:val="single" w:sz="4" w:space="0" w:color="auto"/>
            </w:tcBorders>
            <w:noWrap/>
            <w:vAlign w:val="bottom"/>
            <w:hideMark/>
          </w:tcPr>
          <w:p w14:paraId="07DA077A"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50</w:t>
            </w:r>
          </w:p>
        </w:tc>
        <w:tc>
          <w:tcPr>
            <w:tcW w:w="1380" w:type="dxa"/>
            <w:tcBorders>
              <w:top w:val="nil"/>
              <w:left w:val="nil"/>
              <w:bottom w:val="single" w:sz="4" w:space="0" w:color="auto"/>
              <w:right w:val="single" w:sz="4" w:space="0" w:color="auto"/>
            </w:tcBorders>
            <w:noWrap/>
            <w:vAlign w:val="bottom"/>
            <w:hideMark/>
          </w:tcPr>
          <w:p w14:paraId="525D8E10"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53</w:t>
            </w:r>
          </w:p>
        </w:tc>
        <w:tc>
          <w:tcPr>
            <w:tcW w:w="1600" w:type="dxa"/>
            <w:tcBorders>
              <w:top w:val="nil"/>
              <w:left w:val="nil"/>
              <w:bottom w:val="single" w:sz="4" w:space="0" w:color="auto"/>
              <w:right w:val="single" w:sz="4" w:space="0" w:color="auto"/>
            </w:tcBorders>
            <w:noWrap/>
            <w:vAlign w:val="bottom"/>
            <w:hideMark/>
          </w:tcPr>
          <w:p w14:paraId="6A1FE53C"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10.56%</w:t>
            </w:r>
          </w:p>
        </w:tc>
        <w:tc>
          <w:tcPr>
            <w:tcW w:w="1480" w:type="dxa"/>
            <w:tcBorders>
              <w:top w:val="nil"/>
              <w:left w:val="nil"/>
              <w:bottom w:val="single" w:sz="4" w:space="0" w:color="auto"/>
              <w:right w:val="single" w:sz="4" w:space="0" w:color="auto"/>
            </w:tcBorders>
            <w:noWrap/>
            <w:vAlign w:val="bottom"/>
            <w:hideMark/>
          </w:tcPr>
          <w:p w14:paraId="64AA1E70" w14:textId="77777777" w:rsidR="004A4F0C" w:rsidRPr="004A4F0C" w:rsidRDefault="004A4F0C" w:rsidP="004A4F0C">
            <w:pPr>
              <w:spacing w:after="0" w:line="240" w:lineRule="auto"/>
              <w:jc w:val="right"/>
              <w:rPr>
                <w:rFonts w:ascii="Calibri" w:eastAsia="Times New Roman" w:hAnsi="Calibri" w:cs="Calibri"/>
                <w:lang w:eastAsia="en-GB"/>
              </w:rPr>
            </w:pPr>
            <w:r w:rsidRPr="004A4F0C">
              <w:rPr>
                <w:rFonts w:ascii="Calibri" w:eastAsia="Times New Roman" w:hAnsi="Calibri" w:cs="Calibri"/>
                <w:lang w:eastAsia="en-GB"/>
              </w:rPr>
              <w:t>2</w:t>
            </w:r>
          </w:p>
        </w:tc>
        <w:tc>
          <w:tcPr>
            <w:tcW w:w="1880" w:type="dxa"/>
            <w:tcBorders>
              <w:top w:val="nil"/>
              <w:left w:val="nil"/>
              <w:bottom w:val="single" w:sz="4" w:space="0" w:color="auto"/>
              <w:right w:val="single" w:sz="4" w:space="0" w:color="auto"/>
            </w:tcBorders>
            <w:noWrap/>
            <w:vAlign w:val="bottom"/>
            <w:hideMark/>
          </w:tcPr>
          <w:p w14:paraId="6D5EA140"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2,420</w:t>
            </w:r>
          </w:p>
        </w:tc>
        <w:tc>
          <w:tcPr>
            <w:tcW w:w="1820" w:type="dxa"/>
            <w:tcBorders>
              <w:top w:val="nil"/>
              <w:left w:val="nil"/>
              <w:bottom w:val="single" w:sz="4" w:space="0" w:color="auto"/>
              <w:right w:val="single" w:sz="4" w:space="0" w:color="auto"/>
            </w:tcBorders>
            <w:noWrap/>
            <w:vAlign w:val="bottom"/>
            <w:hideMark/>
          </w:tcPr>
          <w:p w14:paraId="625D0A09"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2.19%</w:t>
            </w:r>
          </w:p>
        </w:tc>
        <w:tc>
          <w:tcPr>
            <w:tcW w:w="960" w:type="dxa"/>
            <w:tcBorders>
              <w:top w:val="nil"/>
              <w:left w:val="nil"/>
              <w:bottom w:val="single" w:sz="4" w:space="0" w:color="auto"/>
              <w:right w:val="single" w:sz="4" w:space="0" w:color="auto"/>
            </w:tcBorders>
            <w:noWrap/>
            <w:vAlign w:val="bottom"/>
            <w:hideMark/>
          </w:tcPr>
          <w:p w14:paraId="2656E9CA"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4</w:t>
            </w:r>
          </w:p>
        </w:tc>
      </w:tr>
      <w:tr w:rsidR="004A4F0C" w:rsidRPr="004A4F0C" w14:paraId="6160F2D6" w14:textId="77777777" w:rsidTr="004A4F0C">
        <w:trPr>
          <w:trHeight w:val="288"/>
        </w:trPr>
        <w:tc>
          <w:tcPr>
            <w:tcW w:w="1680" w:type="dxa"/>
            <w:tcBorders>
              <w:top w:val="nil"/>
              <w:left w:val="single" w:sz="4" w:space="0" w:color="auto"/>
              <w:bottom w:val="single" w:sz="4" w:space="0" w:color="auto"/>
              <w:right w:val="single" w:sz="4" w:space="0" w:color="auto"/>
            </w:tcBorders>
            <w:noWrap/>
            <w:vAlign w:val="bottom"/>
            <w:hideMark/>
          </w:tcPr>
          <w:p w14:paraId="7B25B5AE"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Church</w:t>
            </w:r>
          </w:p>
        </w:tc>
        <w:tc>
          <w:tcPr>
            <w:tcW w:w="1580" w:type="dxa"/>
            <w:tcBorders>
              <w:top w:val="nil"/>
              <w:left w:val="nil"/>
              <w:bottom w:val="single" w:sz="4" w:space="0" w:color="auto"/>
              <w:right w:val="single" w:sz="4" w:space="0" w:color="auto"/>
            </w:tcBorders>
            <w:noWrap/>
            <w:vAlign w:val="bottom"/>
            <w:hideMark/>
          </w:tcPr>
          <w:p w14:paraId="70B7BD2F"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0</w:t>
            </w:r>
          </w:p>
        </w:tc>
        <w:tc>
          <w:tcPr>
            <w:tcW w:w="1600" w:type="dxa"/>
            <w:tcBorders>
              <w:top w:val="nil"/>
              <w:left w:val="nil"/>
              <w:bottom w:val="single" w:sz="4" w:space="0" w:color="auto"/>
              <w:right w:val="single" w:sz="4" w:space="0" w:color="auto"/>
            </w:tcBorders>
            <w:noWrap/>
            <w:vAlign w:val="bottom"/>
            <w:hideMark/>
          </w:tcPr>
          <w:p w14:paraId="53E1A058"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50</w:t>
            </w:r>
          </w:p>
        </w:tc>
        <w:tc>
          <w:tcPr>
            <w:tcW w:w="1380" w:type="dxa"/>
            <w:tcBorders>
              <w:top w:val="nil"/>
              <w:left w:val="nil"/>
              <w:bottom w:val="single" w:sz="4" w:space="0" w:color="auto"/>
              <w:right w:val="single" w:sz="4" w:space="0" w:color="auto"/>
            </w:tcBorders>
            <w:noWrap/>
            <w:vAlign w:val="bottom"/>
            <w:hideMark/>
          </w:tcPr>
          <w:p w14:paraId="11D13BF2"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50</w:t>
            </w:r>
          </w:p>
        </w:tc>
        <w:tc>
          <w:tcPr>
            <w:tcW w:w="1600" w:type="dxa"/>
            <w:tcBorders>
              <w:top w:val="nil"/>
              <w:left w:val="nil"/>
              <w:bottom w:val="single" w:sz="4" w:space="0" w:color="auto"/>
              <w:right w:val="single" w:sz="4" w:space="0" w:color="auto"/>
            </w:tcBorders>
            <w:noWrap/>
            <w:vAlign w:val="bottom"/>
            <w:hideMark/>
          </w:tcPr>
          <w:p w14:paraId="22F55C94"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9.96%</w:t>
            </w:r>
          </w:p>
        </w:tc>
        <w:tc>
          <w:tcPr>
            <w:tcW w:w="1480" w:type="dxa"/>
            <w:tcBorders>
              <w:top w:val="nil"/>
              <w:left w:val="nil"/>
              <w:bottom w:val="single" w:sz="4" w:space="0" w:color="auto"/>
              <w:right w:val="single" w:sz="4" w:space="0" w:color="auto"/>
            </w:tcBorders>
            <w:noWrap/>
            <w:vAlign w:val="bottom"/>
            <w:hideMark/>
          </w:tcPr>
          <w:p w14:paraId="39ED4CF1" w14:textId="77777777" w:rsidR="004A4F0C" w:rsidRPr="004A4F0C" w:rsidRDefault="004A4F0C" w:rsidP="004A4F0C">
            <w:pPr>
              <w:spacing w:after="0" w:line="240" w:lineRule="auto"/>
              <w:jc w:val="right"/>
              <w:rPr>
                <w:rFonts w:ascii="Calibri" w:eastAsia="Times New Roman" w:hAnsi="Calibri" w:cs="Calibri"/>
                <w:lang w:eastAsia="en-GB"/>
              </w:rPr>
            </w:pPr>
            <w:r w:rsidRPr="004A4F0C">
              <w:rPr>
                <w:rFonts w:ascii="Calibri" w:eastAsia="Times New Roman" w:hAnsi="Calibri" w:cs="Calibri"/>
                <w:lang w:eastAsia="en-GB"/>
              </w:rPr>
              <w:t>3</w:t>
            </w:r>
          </w:p>
        </w:tc>
        <w:tc>
          <w:tcPr>
            <w:tcW w:w="1880" w:type="dxa"/>
            <w:tcBorders>
              <w:top w:val="nil"/>
              <w:left w:val="nil"/>
              <w:bottom w:val="single" w:sz="4" w:space="0" w:color="auto"/>
              <w:right w:val="single" w:sz="4" w:space="0" w:color="auto"/>
            </w:tcBorders>
            <w:noWrap/>
            <w:vAlign w:val="bottom"/>
            <w:hideMark/>
          </w:tcPr>
          <w:p w14:paraId="5FAD95B6"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2,230</w:t>
            </w:r>
          </w:p>
        </w:tc>
        <w:tc>
          <w:tcPr>
            <w:tcW w:w="1820" w:type="dxa"/>
            <w:tcBorders>
              <w:top w:val="nil"/>
              <w:left w:val="nil"/>
              <w:bottom w:val="single" w:sz="4" w:space="0" w:color="auto"/>
              <w:right w:val="single" w:sz="4" w:space="0" w:color="auto"/>
            </w:tcBorders>
            <w:noWrap/>
            <w:vAlign w:val="bottom"/>
            <w:hideMark/>
          </w:tcPr>
          <w:p w14:paraId="215550FE"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2.24%</w:t>
            </w:r>
          </w:p>
        </w:tc>
        <w:tc>
          <w:tcPr>
            <w:tcW w:w="960" w:type="dxa"/>
            <w:tcBorders>
              <w:top w:val="nil"/>
              <w:left w:val="nil"/>
              <w:bottom w:val="single" w:sz="4" w:space="0" w:color="auto"/>
              <w:right w:val="single" w:sz="4" w:space="0" w:color="auto"/>
            </w:tcBorders>
            <w:noWrap/>
            <w:vAlign w:val="bottom"/>
            <w:hideMark/>
          </w:tcPr>
          <w:p w14:paraId="6110ED00"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3</w:t>
            </w:r>
          </w:p>
        </w:tc>
      </w:tr>
      <w:tr w:rsidR="004A4F0C" w:rsidRPr="004A4F0C" w14:paraId="3490FA2C" w14:textId="77777777" w:rsidTr="004A4F0C">
        <w:trPr>
          <w:trHeight w:val="288"/>
        </w:trPr>
        <w:tc>
          <w:tcPr>
            <w:tcW w:w="1680" w:type="dxa"/>
            <w:tcBorders>
              <w:top w:val="nil"/>
              <w:left w:val="single" w:sz="4" w:space="0" w:color="auto"/>
              <w:bottom w:val="single" w:sz="4" w:space="0" w:color="auto"/>
              <w:right w:val="single" w:sz="4" w:space="0" w:color="auto"/>
            </w:tcBorders>
            <w:noWrap/>
            <w:vAlign w:val="bottom"/>
            <w:hideMark/>
          </w:tcPr>
          <w:p w14:paraId="5F50F3C7"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Clayton le Moors</w:t>
            </w:r>
          </w:p>
        </w:tc>
        <w:tc>
          <w:tcPr>
            <w:tcW w:w="1580" w:type="dxa"/>
            <w:tcBorders>
              <w:top w:val="nil"/>
              <w:left w:val="nil"/>
              <w:bottom w:val="single" w:sz="4" w:space="0" w:color="auto"/>
              <w:right w:val="single" w:sz="4" w:space="0" w:color="auto"/>
            </w:tcBorders>
            <w:noWrap/>
            <w:vAlign w:val="bottom"/>
            <w:hideMark/>
          </w:tcPr>
          <w:p w14:paraId="3FA4F2AF"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w:t>
            </w:r>
          </w:p>
        </w:tc>
        <w:tc>
          <w:tcPr>
            <w:tcW w:w="1600" w:type="dxa"/>
            <w:tcBorders>
              <w:top w:val="nil"/>
              <w:left w:val="nil"/>
              <w:bottom w:val="single" w:sz="4" w:space="0" w:color="auto"/>
              <w:right w:val="single" w:sz="4" w:space="0" w:color="auto"/>
            </w:tcBorders>
            <w:noWrap/>
            <w:vAlign w:val="bottom"/>
            <w:hideMark/>
          </w:tcPr>
          <w:p w14:paraId="35FEF1CD"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35</w:t>
            </w:r>
          </w:p>
        </w:tc>
        <w:tc>
          <w:tcPr>
            <w:tcW w:w="1380" w:type="dxa"/>
            <w:tcBorders>
              <w:top w:val="nil"/>
              <w:left w:val="nil"/>
              <w:bottom w:val="single" w:sz="4" w:space="0" w:color="auto"/>
              <w:right w:val="single" w:sz="4" w:space="0" w:color="auto"/>
            </w:tcBorders>
            <w:noWrap/>
            <w:vAlign w:val="bottom"/>
            <w:hideMark/>
          </w:tcPr>
          <w:p w14:paraId="108F113A"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36</w:t>
            </w:r>
          </w:p>
        </w:tc>
        <w:tc>
          <w:tcPr>
            <w:tcW w:w="1600" w:type="dxa"/>
            <w:tcBorders>
              <w:top w:val="nil"/>
              <w:left w:val="nil"/>
              <w:bottom w:val="single" w:sz="4" w:space="0" w:color="auto"/>
              <w:right w:val="single" w:sz="4" w:space="0" w:color="auto"/>
            </w:tcBorders>
            <w:noWrap/>
            <w:vAlign w:val="bottom"/>
            <w:hideMark/>
          </w:tcPr>
          <w:p w14:paraId="5B94AA0C"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7.17%</w:t>
            </w:r>
          </w:p>
        </w:tc>
        <w:tc>
          <w:tcPr>
            <w:tcW w:w="1480" w:type="dxa"/>
            <w:tcBorders>
              <w:top w:val="nil"/>
              <w:left w:val="nil"/>
              <w:bottom w:val="single" w:sz="4" w:space="0" w:color="auto"/>
              <w:right w:val="single" w:sz="4" w:space="0" w:color="auto"/>
            </w:tcBorders>
            <w:noWrap/>
            <w:vAlign w:val="bottom"/>
            <w:hideMark/>
          </w:tcPr>
          <w:p w14:paraId="714C6F3D" w14:textId="77777777" w:rsidR="004A4F0C" w:rsidRPr="004A4F0C" w:rsidRDefault="004A4F0C" w:rsidP="004A4F0C">
            <w:pPr>
              <w:spacing w:after="0" w:line="240" w:lineRule="auto"/>
              <w:jc w:val="right"/>
              <w:rPr>
                <w:rFonts w:ascii="Calibri" w:eastAsia="Times New Roman" w:hAnsi="Calibri" w:cs="Calibri"/>
                <w:lang w:eastAsia="en-GB"/>
              </w:rPr>
            </w:pPr>
            <w:r w:rsidRPr="004A4F0C">
              <w:rPr>
                <w:rFonts w:ascii="Calibri" w:eastAsia="Times New Roman" w:hAnsi="Calibri" w:cs="Calibri"/>
                <w:lang w:eastAsia="en-GB"/>
              </w:rPr>
              <w:t>8</w:t>
            </w:r>
          </w:p>
        </w:tc>
        <w:tc>
          <w:tcPr>
            <w:tcW w:w="1880" w:type="dxa"/>
            <w:tcBorders>
              <w:top w:val="nil"/>
              <w:left w:val="nil"/>
              <w:bottom w:val="single" w:sz="4" w:space="0" w:color="auto"/>
              <w:right w:val="single" w:sz="4" w:space="0" w:color="auto"/>
            </w:tcBorders>
            <w:noWrap/>
            <w:vAlign w:val="bottom"/>
            <w:hideMark/>
          </w:tcPr>
          <w:p w14:paraId="1C54720C"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1,920</w:t>
            </w:r>
          </w:p>
        </w:tc>
        <w:tc>
          <w:tcPr>
            <w:tcW w:w="1820" w:type="dxa"/>
            <w:tcBorders>
              <w:top w:val="nil"/>
              <w:left w:val="nil"/>
              <w:bottom w:val="single" w:sz="4" w:space="0" w:color="auto"/>
              <w:right w:val="single" w:sz="4" w:space="0" w:color="auto"/>
            </w:tcBorders>
            <w:noWrap/>
            <w:vAlign w:val="bottom"/>
            <w:hideMark/>
          </w:tcPr>
          <w:p w14:paraId="6EA7E5A3"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1.88%</w:t>
            </w:r>
          </w:p>
        </w:tc>
        <w:tc>
          <w:tcPr>
            <w:tcW w:w="960" w:type="dxa"/>
            <w:tcBorders>
              <w:top w:val="nil"/>
              <w:left w:val="nil"/>
              <w:bottom w:val="single" w:sz="4" w:space="0" w:color="auto"/>
              <w:right w:val="single" w:sz="4" w:space="0" w:color="auto"/>
            </w:tcBorders>
            <w:noWrap/>
            <w:vAlign w:val="bottom"/>
            <w:hideMark/>
          </w:tcPr>
          <w:p w14:paraId="3A218FA8"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6</w:t>
            </w:r>
          </w:p>
        </w:tc>
      </w:tr>
      <w:tr w:rsidR="004A4F0C" w:rsidRPr="004A4F0C" w14:paraId="6B7DD853" w14:textId="77777777" w:rsidTr="004A4F0C">
        <w:trPr>
          <w:trHeight w:val="288"/>
        </w:trPr>
        <w:tc>
          <w:tcPr>
            <w:tcW w:w="1680" w:type="dxa"/>
            <w:tcBorders>
              <w:top w:val="nil"/>
              <w:left w:val="single" w:sz="4" w:space="0" w:color="auto"/>
              <w:bottom w:val="single" w:sz="4" w:space="0" w:color="auto"/>
              <w:right w:val="single" w:sz="4" w:space="0" w:color="auto"/>
            </w:tcBorders>
            <w:shd w:val="clear" w:color="000000" w:fill="E4DFEC"/>
            <w:noWrap/>
            <w:vAlign w:val="bottom"/>
            <w:hideMark/>
          </w:tcPr>
          <w:p w14:paraId="38DA312B" w14:textId="77777777" w:rsidR="004A4F0C" w:rsidRPr="004A4F0C" w:rsidRDefault="004A4F0C" w:rsidP="004A4F0C">
            <w:pPr>
              <w:spacing w:after="0" w:line="240" w:lineRule="auto"/>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Huncoat</w:t>
            </w:r>
          </w:p>
        </w:tc>
        <w:tc>
          <w:tcPr>
            <w:tcW w:w="1580" w:type="dxa"/>
            <w:tcBorders>
              <w:top w:val="nil"/>
              <w:left w:val="nil"/>
              <w:bottom w:val="single" w:sz="4" w:space="0" w:color="auto"/>
              <w:right w:val="single" w:sz="4" w:space="0" w:color="auto"/>
            </w:tcBorders>
            <w:shd w:val="clear" w:color="000000" w:fill="E4DFEC"/>
            <w:noWrap/>
            <w:vAlign w:val="bottom"/>
            <w:hideMark/>
          </w:tcPr>
          <w:p w14:paraId="259D0787"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w:t>
            </w:r>
          </w:p>
        </w:tc>
        <w:tc>
          <w:tcPr>
            <w:tcW w:w="1600" w:type="dxa"/>
            <w:tcBorders>
              <w:top w:val="nil"/>
              <w:left w:val="nil"/>
              <w:bottom w:val="single" w:sz="4" w:space="0" w:color="auto"/>
              <w:right w:val="single" w:sz="4" w:space="0" w:color="auto"/>
            </w:tcBorders>
            <w:shd w:val="clear" w:color="000000" w:fill="E4DFEC"/>
            <w:noWrap/>
            <w:vAlign w:val="bottom"/>
            <w:hideMark/>
          </w:tcPr>
          <w:p w14:paraId="143695C5"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10</w:t>
            </w:r>
          </w:p>
        </w:tc>
        <w:tc>
          <w:tcPr>
            <w:tcW w:w="1380" w:type="dxa"/>
            <w:tcBorders>
              <w:top w:val="nil"/>
              <w:left w:val="nil"/>
              <w:bottom w:val="single" w:sz="4" w:space="0" w:color="auto"/>
              <w:right w:val="single" w:sz="4" w:space="0" w:color="auto"/>
            </w:tcBorders>
            <w:shd w:val="clear" w:color="000000" w:fill="E4DFEC"/>
            <w:noWrap/>
            <w:vAlign w:val="bottom"/>
            <w:hideMark/>
          </w:tcPr>
          <w:p w14:paraId="0D1C643C"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10</w:t>
            </w:r>
          </w:p>
        </w:tc>
        <w:tc>
          <w:tcPr>
            <w:tcW w:w="1600" w:type="dxa"/>
            <w:tcBorders>
              <w:top w:val="nil"/>
              <w:left w:val="nil"/>
              <w:bottom w:val="single" w:sz="4" w:space="0" w:color="auto"/>
              <w:right w:val="single" w:sz="4" w:space="0" w:color="auto"/>
            </w:tcBorders>
            <w:shd w:val="clear" w:color="000000" w:fill="E4DFEC"/>
            <w:noWrap/>
            <w:vAlign w:val="bottom"/>
            <w:hideMark/>
          </w:tcPr>
          <w:p w14:paraId="153E1815"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1.99%</w:t>
            </w:r>
          </w:p>
        </w:tc>
        <w:tc>
          <w:tcPr>
            <w:tcW w:w="1480" w:type="dxa"/>
            <w:tcBorders>
              <w:top w:val="nil"/>
              <w:left w:val="nil"/>
              <w:bottom w:val="single" w:sz="4" w:space="0" w:color="auto"/>
              <w:right w:val="single" w:sz="4" w:space="0" w:color="auto"/>
            </w:tcBorders>
            <w:shd w:val="clear" w:color="000000" w:fill="E4DFEC"/>
            <w:noWrap/>
            <w:vAlign w:val="bottom"/>
            <w:hideMark/>
          </w:tcPr>
          <w:p w14:paraId="0A2E9FA5"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14</w:t>
            </w:r>
          </w:p>
        </w:tc>
        <w:tc>
          <w:tcPr>
            <w:tcW w:w="1880" w:type="dxa"/>
            <w:tcBorders>
              <w:top w:val="nil"/>
              <w:left w:val="nil"/>
              <w:bottom w:val="single" w:sz="4" w:space="0" w:color="auto"/>
              <w:right w:val="single" w:sz="4" w:space="0" w:color="auto"/>
            </w:tcBorders>
            <w:shd w:val="clear" w:color="000000" w:fill="E4DFEC"/>
            <w:noWrap/>
            <w:vAlign w:val="bottom"/>
            <w:hideMark/>
          </w:tcPr>
          <w:p w14:paraId="39AF3164"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2,020</w:t>
            </w:r>
          </w:p>
        </w:tc>
        <w:tc>
          <w:tcPr>
            <w:tcW w:w="1820" w:type="dxa"/>
            <w:tcBorders>
              <w:top w:val="nil"/>
              <w:left w:val="nil"/>
              <w:bottom w:val="single" w:sz="4" w:space="0" w:color="auto"/>
              <w:right w:val="single" w:sz="4" w:space="0" w:color="auto"/>
            </w:tcBorders>
            <w:shd w:val="clear" w:color="000000" w:fill="E4DFEC"/>
            <w:noWrap/>
            <w:vAlign w:val="bottom"/>
            <w:hideMark/>
          </w:tcPr>
          <w:p w14:paraId="1106A8DD"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0.50%</w:t>
            </w:r>
          </w:p>
        </w:tc>
        <w:tc>
          <w:tcPr>
            <w:tcW w:w="960" w:type="dxa"/>
            <w:tcBorders>
              <w:top w:val="nil"/>
              <w:left w:val="nil"/>
              <w:bottom w:val="single" w:sz="4" w:space="0" w:color="auto"/>
              <w:right w:val="single" w:sz="4" w:space="0" w:color="auto"/>
            </w:tcBorders>
            <w:shd w:val="clear" w:color="000000" w:fill="E4DFEC"/>
            <w:noWrap/>
            <w:vAlign w:val="bottom"/>
            <w:hideMark/>
          </w:tcPr>
          <w:p w14:paraId="4788F077"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14</w:t>
            </w:r>
          </w:p>
        </w:tc>
      </w:tr>
      <w:tr w:rsidR="004A4F0C" w:rsidRPr="004A4F0C" w14:paraId="76A494AA" w14:textId="77777777" w:rsidTr="004A4F0C">
        <w:trPr>
          <w:trHeight w:val="288"/>
        </w:trPr>
        <w:tc>
          <w:tcPr>
            <w:tcW w:w="1680" w:type="dxa"/>
            <w:tcBorders>
              <w:top w:val="nil"/>
              <w:left w:val="single" w:sz="4" w:space="0" w:color="auto"/>
              <w:bottom w:val="single" w:sz="4" w:space="0" w:color="auto"/>
              <w:right w:val="single" w:sz="4" w:space="0" w:color="auto"/>
            </w:tcBorders>
            <w:shd w:val="clear" w:color="000000" w:fill="E4DFEC"/>
            <w:noWrap/>
            <w:vAlign w:val="bottom"/>
            <w:hideMark/>
          </w:tcPr>
          <w:p w14:paraId="55E0D2D9" w14:textId="77777777" w:rsidR="004A4F0C" w:rsidRPr="004A4F0C" w:rsidRDefault="004A4F0C" w:rsidP="004A4F0C">
            <w:pPr>
              <w:spacing w:after="0" w:line="240" w:lineRule="auto"/>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Immanuel</w:t>
            </w:r>
          </w:p>
        </w:tc>
        <w:tc>
          <w:tcPr>
            <w:tcW w:w="1580" w:type="dxa"/>
            <w:tcBorders>
              <w:top w:val="nil"/>
              <w:left w:val="nil"/>
              <w:bottom w:val="single" w:sz="4" w:space="0" w:color="auto"/>
              <w:right w:val="single" w:sz="4" w:space="0" w:color="auto"/>
            </w:tcBorders>
            <w:shd w:val="clear" w:color="000000" w:fill="E4DFEC"/>
            <w:noWrap/>
            <w:vAlign w:val="bottom"/>
            <w:hideMark/>
          </w:tcPr>
          <w:p w14:paraId="2D05C1D9"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w:t>
            </w:r>
          </w:p>
        </w:tc>
        <w:tc>
          <w:tcPr>
            <w:tcW w:w="1600" w:type="dxa"/>
            <w:tcBorders>
              <w:top w:val="nil"/>
              <w:left w:val="nil"/>
              <w:bottom w:val="single" w:sz="4" w:space="0" w:color="auto"/>
              <w:right w:val="single" w:sz="4" w:space="0" w:color="auto"/>
            </w:tcBorders>
            <w:shd w:val="clear" w:color="000000" w:fill="E4DFEC"/>
            <w:noWrap/>
            <w:vAlign w:val="bottom"/>
            <w:hideMark/>
          </w:tcPr>
          <w:p w14:paraId="50EA74B4"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19</w:t>
            </w:r>
          </w:p>
        </w:tc>
        <w:tc>
          <w:tcPr>
            <w:tcW w:w="1380" w:type="dxa"/>
            <w:tcBorders>
              <w:top w:val="nil"/>
              <w:left w:val="nil"/>
              <w:bottom w:val="single" w:sz="4" w:space="0" w:color="auto"/>
              <w:right w:val="single" w:sz="4" w:space="0" w:color="auto"/>
            </w:tcBorders>
            <w:shd w:val="clear" w:color="000000" w:fill="E4DFEC"/>
            <w:noWrap/>
            <w:vAlign w:val="bottom"/>
            <w:hideMark/>
          </w:tcPr>
          <w:p w14:paraId="4D8BF32F"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19</w:t>
            </w:r>
          </w:p>
        </w:tc>
        <w:tc>
          <w:tcPr>
            <w:tcW w:w="1600" w:type="dxa"/>
            <w:tcBorders>
              <w:top w:val="nil"/>
              <w:left w:val="nil"/>
              <w:bottom w:val="single" w:sz="4" w:space="0" w:color="auto"/>
              <w:right w:val="single" w:sz="4" w:space="0" w:color="auto"/>
            </w:tcBorders>
            <w:shd w:val="clear" w:color="000000" w:fill="E4DFEC"/>
            <w:noWrap/>
            <w:vAlign w:val="bottom"/>
            <w:hideMark/>
          </w:tcPr>
          <w:p w14:paraId="0CFD2B18"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3.78%</w:t>
            </w:r>
          </w:p>
        </w:tc>
        <w:tc>
          <w:tcPr>
            <w:tcW w:w="1480" w:type="dxa"/>
            <w:tcBorders>
              <w:top w:val="nil"/>
              <w:left w:val="nil"/>
              <w:bottom w:val="single" w:sz="4" w:space="0" w:color="auto"/>
              <w:right w:val="single" w:sz="4" w:space="0" w:color="auto"/>
            </w:tcBorders>
            <w:shd w:val="clear" w:color="000000" w:fill="E4DFEC"/>
            <w:noWrap/>
            <w:vAlign w:val="bottom"/>
            <w:hideMark/>
          </w:tcPr>
          <w:p w14:paraId="676AE31A"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11</w:t>
            </w:r>
          </w:p>
        </w:tc>
        <w:tc>
          <w:tcPr>
            <w:tcW w:w="1880" w:type="dxa"/>
            <w:tcBorders>
              <w:top w:val="nil"/>
              <w:left w:val="nil"/>
              <w:bottom w:val="single" w:sz="4" w:space="0" w:color="auto"/>
              <w:right w:val="single" w:sz="4" w:space="0" w:color="auto"/>
            </w:tcBorders>
            <w:shd w:val="clear" w:color="000000" w:fill="E4DFEC"/>
            <w:noWrap/>
            <w:vAlign w:val="bottom"/>
            <w:hideMark/>
          </w:tcPr>
          <w:p w14:paraId="0A973CCF"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1,860</w:t>
            </w:r>
          </w:p>
        </w:tc>
        <w:tc>
          <w:tcPr>
            <w:tcW w:w="1820" w:type="dxa"/>
            <w:tcBorders>
              <w:top w:val="nil"/>
              <w:left w:val="nil"/>
              <w:bottom w:val="single" w:sz="4" w:space="0" w:color="auto"/>
              <w:right w:val="single" w:sz="4" w:space="0" w:color="auto"/>
            </w:tcBorders>
            <w:shd w:val="clear" w:color="000000" w:fill="E4DFEC"/>
            <w:noWrap/>
            <w:vAlign w:val="bottom"/>
            <w:hideMark/>
          </w:tcPr>
          <w:p w14:paraId="670474F0"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1.02%</w:t>
            </w:r>
          </w:p>
        </w:tc>
        <w:tc>
          <w:tcPr>
            <w:tcW w:w="960" w:type="dxa"/>
            <w:tcBorders>
              <w:top w:val="nil"/>
              <w:left w:val="nil"/>
              <w:bottom w:val="single" w:sz="4" w:space="0" w:color="auto"/>
              <w:right w:val="single" w:sz="4" w:space="0" w:color="auto"/>
            </w:tcBorders>
            <w:shd w:val="clear" w:color="000000" w:fill="E4DFEC"/>
            <w:noWrap/>
            <w:vAlign w:val="bottom"/>
            <w:hideMark/>
          </w:tcPr>
          <w:p w14:paraId="31070DAE"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10</w:t>
            </w:r>
          </w:p>
        </w:tc>
      </w:tr>
      <w:tr w:rsidR="004A4F0C" w:rsidRPr="004A4F0C" w14:paraId="5CB2DF57" w14:textId="77777777" w:rsidTr="004A4F0C">
        <w:trPr>
          <w:trHeight w:val="288"/>
        </w:trPr>
        <w:tc>
          <w:tcPr>
            <w:tcW w:w="1680" w:type="dxa"/>
            <w:tcBorders>
              <w:top w:val="nil"/>
              <w:left w:val="single" w:sz="4" w:space="0" w:color="auto"/>
              <w:bottom w:val="single" w:sz="4" w:space="0" w:color="auto"/>
              <w:right w:val="single" w:sz="4" w:space="0" w:color="auto"/>
            </w:tcBorders>
            <w:shd w:val="clear" w:color="000000" w:fill="E4DFEC"/>
            <w:noWrap/>
            <w:vAlign w:val="bottom"/>
            <w:hideMark/>
          </w:tcPr>
          <w:p w14:paraId="22E83066" w14:textId="77777777" w:rsidR="004A4F0C" w:rsidRPr="004A4F0C" w:rsidRDefault="004A4F0C" w:rsidP="004A4F0C">
            <w:pPr>
              <w:spacing w:after="0" w:line="240" w:lineRule="auto"/>
              <w:rPr>
                <w:rFonts w:ascii="Calibri" w:eastAsia="Times New Roman" w:hAnsi="Calibri" w:cs="Calibri"/>
                <w:b/>
                <w:bCs/>
                <w:color w:val="7030A0"/>
                <w:lang w:eastAsia="en-GB"/>
              </w:rPr>
            </w:pPr>
            <w:proofErr w:type="spellStart"/>
            <w:r w:rsidRPr="004A4F0C">
              <w:rPr>
                <w:rFonts w:ascii="Calibri" w:eastAsia="Times New Roman" w:hAnsi="Calibri" w:cs="Calibri"/>
                <w:b/>
                <w:bCs/>
                <w:color w:val="7030A0"/>
                <w:lang w:eastAsia="en-GB"/>
              </w:rPr>
              <w:t>Milnshaw</w:t>
            </w:r>
            <w:proofErr w:type="spellEnd"/>
          </w:p>
        </w:tc>
        <w:tc>
          <w:tcPr>
            <w:tcW w:w="1580" w:type="dxa"/>
            <w:tcBorders>
              <w:top w:val="nil"/>
              <w:left w:val="nil"/>
              <w:bottom w:val="single" w:sz="4" w:space="0" w:color="auto"/>
              <w:right w:val="single" w:sz="4" w:space="0" w:color="auto"/>
            </w:tcBorders>
            <w:shd w:val="clear" w:color="000000" w:fill="E4DFEC"/>
            <w:noWrap/>
            <w:vAlign w:val="bottom"/>
            <w:hideMark/>
          </w:tcPr>
          <w:p w14:paraId="40958F99"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w:t>
            </w:r>
          </w:p>
        </w:tc>
        <w:tc>
          <w:tcPr>
            <w:tcW w:w="1600" w:type="dxa"/>
            <w:tcBorders>
              <w:top w:val="nil"/>
              <w:left w:val="nil"/>
              <w:bottom w:val="single" w:sz="4" w:space="0" w:color="auto"/>
              <w:right w:val="single" w:sz="4" w:space="0" w:color="auto"/>
            </w:tcBorders>
            <w:shd w:val="clear" w:color="000000" w:fill="E4DFEC"/>
            <w:noWrap/>
            <w:vAlign w:val="bottom"/>
            <w:hideMark/>
          </w:tcPr>
          <w:p w14:paraId="44B2B28E"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19</w:t>
            </w:r>
          </w:p>
        </w:tc>
        <w:tc>
          <w:tcPr>
            <w:tcW w:w="1380" w:type="dxa"/>
            <w:tcBorders>
              <w:top w:val="nil"/>
              <w:left w:val="nil"/>
              <w:bottom w:val="single" w:sz="4" w:space="0" w:color="auto"/>
              <w:right w:val="single" w:sz="4" w:space="0" w:color="auto"/>
            </w:tcBorders>
            <w:shd w:val="clear" w:color="000000" w:fill="E4DFEC"/>
            <w:noWrap/>
            <w:vAlign w:val="bottom"/>
            <w:hideMark/>
          </w:tcPr>
          <w:p w14:paraId="1678C07D"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19</w:t>
            </w:r>
          </w:p>
        </w:tc>
        <w:tc>
          <w:tcPr>
            <w:tcW w:w="1600" w:type="dxa"/>
            <w:tcBorders>
              <w:top w:val="nil"/>
              <w:left w:val="nil"/>
              <w:bottom w:val="single" w:sz="4" w:space="0" w:color="auto"/>
              <w:right w:val="single" w:sz="4" w:space="0" w:color="auto"/>
            </w:tcBorders>
            <w:shd w:val="clear" w:color="000000" w:fill="E4DFEC"/>
            <w:noWrap/>
            <w:vAlign w:val="bottom"/>
            <w:hideMark/>
          </w:tcPr>
          <w:p w14:paraId="317D3927"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3.78%</w:t>
            </w:r>
          </w:p>
        </w:tc>
        <w:tc>
          <w:tcPr>
            <w:tcW w:w="1480" w:type="dxa"/>
            <w:tcBorders>
              <w:top w:val="nil"/>
              <w:left w:val="nil"/>
              <w:bottom w:val="single" w:sz="4" w:space="0" w:color="auto"/>
              <w:right w:val="single" w:sz="4" w:space="0" w:color="auto"/>
            </w:tcBorders>
            <w:shd w:val="clear" w:color="000000" w:fill="E4DFEC"/>
            <w:noWrap/>
            <w:vAlign w:val="bottom"/>
            <w:hideMark/>
          </w:tcPr>
          <w:p w14:paraId="2C065A6C"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11</w:t>
            </w:r>
          </w:p>
        </w:tc>
        <w:tc>
          <w:tcPr>
            <w:tcW w:w="1880" w:type="dxa"/>
            <w:tcBorders>
              <w:top w:val="nil"/>
              <w:left w:val="nil"/>
              <w:bottom w:val="single" w:sz="4" w:space="0" w:color="auto"/>
              <w:right w:val="single" w:sz="4" w:space="0" w:color="auto"/>
            </w:tcBorders>
            <w:shd w:val="clear" w:color="000000" w:fill="E4DFEC"/>
            <w:noWrap/>
            <w:vAlign w:val="bottom"/>
            <w:hideMark/>
          </w:tcPr>
          <w:p w14:paraId="0AC79F21"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2,070</w:t>
            </w:r>
          </w:p>
        </w:tc>
        <w:tc>
          <w:tcPr>
            <w:tcW w:w="1820" w:type="dxa"/>
            <w:tcBorders>
              <w:top w:val="nil"/>
              <w:left w:val="nil"/>
              <w:bottom w:val="single" w:sz="4" w:space="0" w:color="auto"/>
              <w:right w:val="single" w:sz="4" w:space="0" w:color="auto"/>
            </w:tcBorders>
            <w:shd w:val="clear" w:color="000000" w:fill="E4DFEC"/>
            <w:noWrap/>
            <w:vAlign w:val="bottom"/>
            <w:hideMark/>
          </w:tcPr>
          <w:p w14:paraId="273069D1"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0.92%</w:t>
            </w:r>
          </w:p>
        </w:tc>
        <w:tc>
          <w:tcPr>
            <w:tcW w:w="960" w:type="dxa"/>
            <w:tcBorders>
              <w:top w:val="nil"/>
              <w:left w:val="nil"/>
              <w:bottom w:val="single" w:sz="4" w:space="0" w:color="auto"/>
              <w:right w:val="single" w:sz="4" w:space="0" w:color="auto"/>
            </w:tcBorders>
            <w:shd w:val="clear" w:color="000000" w:fill="E4DFEC"/>
            <w:noWrap/>
            <w:vAlign w:val="bottom"/>
            <w:hideMark/>
          </w:tcPr>
          <w:p w14:paraId="07582C94"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11</w:t>
            </w:r>
          </w:p>
        </w:tc>
      </w:tr>
      <w:tr w:rsidR="004A4F0C" w:rsidRPr="004A4F0C" w14:paraId="7315FC53" w14:textId="77777777" w:rsidTr="004A4F0C">
        <w:trPr>
          <w:trHeight w:val="288"/>
        </w:trPr>
        <w:tc>
          <w:tcPr>
            <w:tcW w:w="1680" w:type="dxa"/>
            <w:tcBorders>
              <w:top w:val="nil"/>
              <w:left w:val="single" w:sz="4" w:space="0" w:color="auto"/>
              <w:bottom w:val="single" w:sz="4" w:space="0" w:color="auto"/>
              <w:right w:val="single" w:sz="4" w:space="0" w:color="auto"/>
            </w:tcBorders>
            <w:noWrap/>
            <w:vAlign w:val="bottom"/>
            <w:hideMark/>
          </w:tcPr>
          <w:p w14:paraId="552EE193"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Netherton</w:t>
            </w:r>
          </w:p>
        </w:tc>
        <w:tc>
          <w:tcPr>
            <w:tcW w:w="1580" w:type="dxa"/>
            <w:tcBorders>
              <w:top w:val="nil"/>
              <w:left w:val="nil"/>
              <w:bottom w:val="single" w:sz="4" w:space="0" w:color="auto"/>
              <w:right w:val="single" w:sz="4" w:space="0" w:color="auto"/>
            </w:tcBorders>
            <w:noWrap/>
            <w:vAlign w:val="bottom"/>
            <w:hideMark/>
          </w:tcPr>
          <w:p w14:paraId="02909D7F"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w:t>
            </w:r>
          </w:p>
        </w:tc>
        <w:tc>
          <w:tcPr>
            <w:tcW w:w="1600" w:type="dxa"/>
            <w:tcBorders>
              <w:top w:val="nil"/>
              <w:left w:val="nil"/>
              <w:bottom w:val="single" w:sz="4" w:space="0" w:color="auto"/>
              <w:right w:val="single" w:sz="4" w:space="0" w:color="auto"/>
            </w:tcBorders>
            <w:noWrap/>
            <w:vAlign w:val="bottom"/>
            <w:hideMark/>
          </w:tcPr>
          <w:p w14:paraId="00F6C37E"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27</w:t>
            </w:r>
          </w:p>
        </w:tc>
        <w:tc>
          <w:tcPr>
            <w:tcW w:w="1380" w:type="dxa"/>
            <w:tcBorders>
              <w:top w:val="nil"/>
              <w:left w:val="nil"/>
              <w:bottom w:val="single" w:sz="4" w:space="0" w:color="auto"/>
              <w:right w:val="single" w:sz="4" w:space="0" w:color="auto"/>
            </w:tcBorders>
            <w:noWrap/>
            <w:vAlign w:val="bottom"/>
            <w:hideMark/>
          </w:tcPr>
          <w:p w14:paraId="15B66EA7"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28</w:t>
            </w:r>
          </w:p>
        </w:tc>
        <w:tc>
          <w:tcPr>
            <w:tcW w:w="1600" w:type="dxa"/>
            <w:tcBorders>
              <w:top w:val="nil"/>
              <w:left w:val="nil"/>
              <w:bottom w:val="single" w:sz="4" w:space="0" w:color="auto"/>
              <w:right w:val="single" w:sz="4" w:space="0" w:color="auto"/>
            </w:tcBorders>
            <w:noWrap/>
            <w:vAlign w:val="bottom"/>
            <w:hideMark/>
          </w:tcPr>
          <w:p w14:paraId="12BFB7C9"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5.58%</w:t>
            </w:r>
          </w:p>
        </w:tc>
        <w:tc>
          <w:tcPr>
            <w:tcW w:w="1480" w:type="dxa"/>
            <w:tcBorders>
              <w:top w:val="nil"/>
              <w:left w:val="nil"/>
              <w:bottom w:val="single" w:sz="4" w:space="0" w:color="auto"/>
              <w:right w:val="single" w:sz="4" w:space="0" w:color="auto"/>
            </w:tcBorders>
            <w:noWrap/>
            <w:vAlign w:val="bottom"/>
            <w:hideMark/>
          </w:tcPr>
          <w:p w14:paraId="5FFA466F" w14:textId="77777777" w:rsidR="004A4F0C" w:rsidRPr="004A4F0C" w:rsidRDefault="004A4F0C" w:rsidP="004A4F0C">
            <w:pPr>
              <w:spacing w:after="0" w:line="240" w:lineRule="auto"/>
              <w:jc w:val="right"/>
              <w:rPr>
                <w:rFonts w:ascii="Calibri" w:eastAsia="Times New Roman" w:hAnsi="Calibri" w:cs="Calibri"/>
                <w:lang w:eastAsia="en-GB"/>
              </w:rPr>
            </w:pPr>
            <w:r w:rsidRPr="004A4F0C">
              <w:rPr>
                <w:rFonts w:ascii="Calibri" w:eastAsia="Times New Roman" w:hAnsi="Calibri" w:cs="Calibri"/>
                <w:lang w:eastAsia="en-GB"/>
              </w:rPr>
              <w:t>9</w:t>
            </w:r>
          </w:p>
        </w:tc>
        <w:tc>
          <w:tcPr>
            <w:tcW w:w="1880" w:type="dxa"/>
            <w:tcBorders>
              <w:top w:val="nil"/>
              <w:left w:val="nil"/>
              <w:bottom w:val="single" w:sz="4" w:space="0" w:color="auto"/>
              <w:right w:val="single" w:sz="4" w:space="0" w:color="auto"/>
            </w:tcBorders>
            <w:noWrap/>
            <w:vAlign w:val="bottom"/>
            <w:hideMark/>
          </w:tcPr>
          <w:p w14:paraId="1F6CE700"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1,960</w:t>
            </w:r>
          </w:p>
        </w:tc>
        <w:tc>
          <w:tcPr>
            <w:tcW w:w="1820" w:type="dxa"/>
            <w:tcBorders>
              <w:top w:val="nil"/>
              <w:left w:val="nil"/>
              <w:bottom w:val="single" w:sz="4" w:space="0" w:color="auto"/>
              <w:right w:val="single" w:sz="4" w:space="0" w:color="auto"/>
            </w:tcBorders>
            <w:noWrap/>
            <w:vAlign w:val="bottom"/>
            <w:hideMark/>
          </w:tcPr>
          <w:p w14:paraId="2FE6AC6A"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1.43%</w:t>
            </w:r>
          </w:p>
        </w:tc>
        <w:tc>
          <w:tcPr>
            <w:tcW w:w="960" w:type="dxa"/>
            <w:tcBorders>
              <w:top w:val="nil"/>
              <w:left w:val="nil"/>
              <w:bottom w:val="single" w:sz="4" w:space="0" w:color="auto"/>
              <w:right w:val="single" w:sz="4" w:space="0" w:color="auto"/>
            </w:tcBorders>
            <w:noWrap/>
            <w:vAlign w:val="bottom"/>
            <w:hideMark/>
          </w:tcPr>
          <w:p w14:paraId="3F7127F0"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9</w:t>
            </w:r>
          </w:p>
        </w:tc>
      </w:tr>
      <w:tr w:rsidR="004A4F0C" w:rsidRPr="004A4F0C" w14:paraId="61945E32" w14:textId="77777777" w:rsidTr="004A4F0C">
        <w:trPr>
          <w:trHeight w:val="288"/>
        </w:trPr>
        <w:tc>
          <w:tcPr>
            <w:tcW w:w="1680" w:type="dxa"/>
            <w:tcBorders>
              <w:top w:val="nil"/>
              <w:left w:val="single" w:sz="4" w:space="0" w:color="auto"/>
              <w:bottom w:val="single" w:sz="4" w:space="0" w:color="auto"/>
              <w:right w:val="single" w:sz="4" w:space="0" w:color="auto"/>
            </w:tcBorders>
            <w:shd w:val="clear" w:color="000000" w:fill="E4DFEC"/>
            <w:noWrap/>
            <w:vAlign w:val="bottom"/>
            <w:hideMark/>
          </w:tcPr>
          <w:p w14:paraId="2D7DE9B3" w14:textId="77777777" w:rsidR="004A4F0C" w:rsidRPr="004A4F0C" w:rsidRDefault="004A4F0C" w:rsidP="004A4F0C">
            <w:pPr>
              <w:spacing w:after="0" w:line="240" w:lineRule="auto"/>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Overton</w:t>
            </w:r>
          </w:p>
        </w:tc>
        <w:tc>
          <w:tcPr>
            <w:tcW w:w="1580" w:type="dxa"/>
            <w:tcBorders>
              <w:top w:val="nil"/>
              <w:left w:val="nil"/>
              <w:bottom w:val="single" w:sz="4" w:space="0" w:color="auto"/>
              <w:right w:val="single" w:sz="4" w:space="0" w:color="auto"/>
            </w:tcBorders>
            <w:shd w:val="clear" w:color="000000" w:fill="E4DFEC"/>
            <w:noWrap/>
            <w:vAlign w:val="bottom"/>
            <w:hideMark/>
          </w:tcPr>
          <w:p w14:paraId="527B4115"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w:t>
            </w:r>
          </w:p>
        </w:tc>
        <w:tc>
          <w:tcPr>
            <w:tcW w:w="1600" w:type="dxa"/>
            <w:tcBorders>
              <w:top w:val="nil"/>
              <w:left w:val="nil"/>
              <w:bottom w:val="single" w:sz="4" w:space="0" w:color="auto"/>
              <w:right w:val="single" w:sz="4" w:space="0" w:color="auto"/>
            </w:tcBorders>
            <w:shd w:val="clear" w:color="000000" w:fill="E4DFEC"/>
            <w:noWrap/>
            <w:vAlign w:val="bottom"/>
            <w:hideMark/>
          </w:tcPr>
          <w:p w14:paraId="5D7CA04A"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19</w:t>
            </w:r>
          </w:p>
        </w:tc>
        <w:tc>
          <w:tcPr>
            <w:tcW w:w="1380" w:type="dxa"/>
            <w:tcBorders>
              <w:top w:val="nil"/>
              <w:left w:val="nil"/>
              <w:bottom w:val="single" w:sz="4" w:space="0" w:color="auto"/>
              <w:right w:val="single" w:sz="4" w:space="0" w:color="auto"/>
            </w:tcBorders>
            <w:shd w:val="clear" w:color="000000" w:fill="E4DFEC"/>
            <w:noWrap/>
            <w:vAlign w:val="bottom"/>
            <w:hideMark/>
          </w:tcPr>
          <w:p w14:paraId="111E12AC"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20</w:t>
            </w:r>
          </w:p>
        </w:tc>
        <w:tc>
          <w:tcPr>
            <w:tcW w:w="1600" w:type="dxa"/>
            <w:tcBorders>
              <w:top w:val="nil"/>
              <w:left w:val="nil"/>
              <w:bottom w:val="single" w:sz="4" w:space="0" w:color="auto"/>
              <w:right w:val="single" w:sz="4" w:space="0" w:color="auto"/>
            </w:tcBorders>
            <w:shd w:val="clear" w:color="000000" w:fill="E4DFEC"/>
            <w:noWrap/>
            <w:vAlign w:val="bottom"/>
            <w:hideMark/>
          </w:tcPr>
          <w:p w14:paraId="49BF1784"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3.98%</w:t>
            </w:r>
          </w:p>
        </w:tc>
        <w:tc>
          <w:tcPr>
            <w:tcW w:w="1480" w:type="dxa"/>
            <w:tcBorders>
              <w:top w:val="nil"/>
              <w:left w:val="nil"/>
              <w:bottom w:val="single" w:sz="4" w:space="0" w:color="auto"/>
              <w:right w:val="single" w:sz="4" w:space="0" w:color="auto"/>
            </w:tcBorders>
            <w:shd w:val="clear" w:color="000000" w:fill="E4DFEC"/>
            <w:noWrap/>
            <w:vAlign w:val="bottom"/>
            <w:hideMark/>
          </w:tcPr>
          <w:p w14:paraId="42F60449"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10</w:t>
            </w:r>
          </w:p>
        </w:tc>
        <w:tc>
          <w:tcPr>
            <w:tcW w:w="1880" w:type="dxa"/>
            <w:tcBorders>
              <w:top w:val="nil"/>
              <w:left w:val="nil"/>
              <w:bottom w:val="single" w:sz="4" w:space="0" w:color="auto"/>
              <w:right w:val="single" w:sz="4" w:space="0" w:color="auto"/>
            </w:tcBorders>
            <w:shd w:val="clear" w:color="000000" w:fill="E4DFEC"/>
            <w:noWrap/>
            <w:vAlign w:val="bottom"/>
            <w:hideMark/>
          </w:tcPr>
          <w:p w14:paraId="730F3C7C"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2,750</w:t>
            </w:r>
          </w:p>
        </w:tc>
        <w:tc>
          <w:tcPr>
            <w:tcW w:w="1820" w:type="dxa"/>
            <w:tcBorders>
              <w:top w:val="nil"/>
              <w:left w:val="nil"/>
              <w:bottom w:val="single" w:sz="4" w:space="0" w:color="auto"/>
              <w:right w:val="single" w:sz="4" w:space="0" w:color="auto"/>
            </w:tcBorders>
            <w:shd w:val="clear" w:color="000000" w:fill="E4DFEC"/>
            <w:noWrap/>
            <w:vAlign w:val="bottom"/>
            <w:hideMark/>
          </w:tcPr>
          <w:p w14:paraId="2A904454"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0.73%</w:t>
            </w:r>
          </w:p>
        </w:tc>
        <w:tc>
          <w:tcPr>
            <w:tcW w:w="960" w:type="dxa"/>
            <w:tcBorders>
              <w:top w:val="nil"/>
              <w:left w:val="nil"/>
              <w:bottom w:val="single" w:sz="4" w:space="0" w:color="auto"/>
              <w:right w:val="single" w:sz="4" w:space="0" w:color="auto"/>
            </w:tcBorders>
            <w:shd w:val="clear" w:color="000000" w:fill="E4DFEC"/>
            <w:noWrap/>
            <w:vAlign w:val="bottom"/>
            <w:hideMark/>
          </w:tcPr>
          <w:p w14:paraId="7B9A17EA"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12</w:t>
            </w:r>
          </w:p>
        </w:tc>
      </w:tr>
      <w:tr w:rsidR="004A4F0C" w:rsidRPr="004A4F0C" w14:paraId="6FAB311E" w14:textId="77777777" w:rsidTr="004A4F0C">
        <w:trPr>
          <w:trHeight w:val="288"/>
        </w:trPr>
        <w:tc>
          <w:tcPr>
            <w:tcW w:w="1680" w:type="dxa"/>
            <w:tcBorders>
              <w:top w:val="nil"/>
              <w:left w:val="single" w:sz="4" w:space="0" w:color="auto"/>
              <w:bottom w:val="single" w:sz="4" w:space="0" w:color="auto"/>
              <w:right w:val="single" w:sz="4" w:space="0" w:color="auto"/>
            </w:tcBorders>
            <w:noWrap/>
            <w:vAlign w:val="bottom"/>
            <w:hideMark/>
          </w:tcPr>
          <w:p w14:paraId="13EE9D7A"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Peel</w:t>
            </w:r>
          </w:p>
        </w:tc>
        <w:tc>
          <w:tcPr>
            <w:tcW w:w="1580" w:type="dxa"/>
            <w:tcBorders>
              <w:top w:val="nil"/>
              <w:left w:val="nil"/>
              <w:bottom w:val="single" w:sz="4" w:space="0" w:color="auto"/>
              <w:right w:val="single" w:sz="4" w:space="0" w:color="auto"/>
            </w:tcBorders>
            <w:noWrap/>
            <w:vAlign w:val="bottom"/>
            <w:hideMark/>
          </w:tcPr>
          <w:p w14:paraId="441C07B8"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0</w:t>
            </w:r>
          </w:p>
        </w:tc>
        <w:tc>
          <w:tcPr>
            <w:tcW w:w="1600" w:type="dxa"/>
            <w:tcBorders>
              <w:top w:val="nil"/>
              <w:left w:val="nil"/>
              <w:bottom w:val="single" w:sz="4" w:space="0" w:color="auto"/>
              <w:right w:val="single" w:sz="4" w:space="0" w:color="auto"/>
            </w:tcBorders>
            <w:noWrap/>
            <w:vAlign w:val="bottom"/>
            <w:hideMark/>
          </w:tcPr>
          <w:p w14:paraId="0260F2BE"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48</w:t>
            </w:r>
          </w:p>
        </w:tc>
        <w:tc>
          <w:tcPr>
            <w:tcW w:w="1380" w:type="dxa"/>
            <w:tcBorders>
              <w:top w:val="nil"/>
              <w:left w:val="nil"/>
              <w:bottom w:val="single" w:sz="4" w:space="0" w:color="auto"/>
              <w:right w:val="single" w:sz="4" w:space="0" w:color="auto"/>
            </w:tcBorders>
            <w:noWrap/>
            <w:vAlign w:val="bottom"/>
            <w:hideMark/>
          </w:tcPr>
          <w:p w14:paraId="5C4D0EC8"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48</w:t>
            </w:r>
          </w:p>
        </w:tc>
        <w:tc>
          <w:tcPr>
            <w:tcW w:w="1600" w:type="dxa"/>
            <w:tcBorders>
              <w:top w:val="nil"/>
              <w:left w:val="nil"/>
              <w:bottom w:val="single" w:sz="4" w:space="0" w:color="auto"/>
              <w:right w:val="single" w:sz="4" w:space="0" w:color="auto"/>
            </w:tcBorders>
            <w:noWrap/>
            <w:vAlign w:val="bottom"/>
            <w:hideMark/>
          </w:tcPr>
          <w:p w14:paraId="133CEB7F"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9.56%</w:t>
            </w:r>
          </w:p>
        </w:tc>
        <w:tc>
          <w:tcPr>
            <w:tcW w:w="1480" w:type="dxa"/>
            <w:tcBorders>
              <w:top w:val="nil"/>
              <w:left w:val="nil"/>
              <w:bottom w:val="single" w:sz="4" w:space="0" w:color="auto"/>
              <w:right w:val="single" w:sz="4" w:space="0" w:color="auto"/>
            </w:tcBorders>
            <w:noWrap/>
            <w:vAlign w:val="bottom"/>
            <w:hideMark/>
          </w:tcPr>
          <w:p w14:paraId="232333A4" w14:textId="77777777" w:rsidR="004A4F0C" w:rsidRPr="004A4F0C" w:rsidRDefault="004A4F0C" w:rsidP="004A4F0C">
            <w:pPr>
              <w:spacing w:after="0" w:line="240" w:lineRule="auto"/>
              <w:jc w:val="right"/>
              <w:rPr>
                <w:rFonts w:ascii="Calibri" w:eastAsia="Times New Roman" w:hAnsi="Calibri" w:cs="Calibri"/>
                <w:lang w:eastAsia="en-GB"/>
              </w:rPr>
            </w:pPr>
            <w:r w:rsidRPr="004A4F0C">
              <w:rPr>
                <w:rFonts w:ascii="Calibri" w:eastAsia="Times New Roman" w:hAnsi="Calibri" w:cs="Calibri"/>
                <w:lang w:eastAsia="en-GB"/>
              </w:rPr>
              <w:t>4</w:t>
            </w:r>
          </w:p>
        </w:tc>
        <w:tc>
          <w:tcPr>
            <w:tcW w:w="1880" w:type="dxa"/>
            <w:tcBorders>
              <w:top w:val="nil"/>
              <w:left w:val="nil"/>
              <w:bottom w:val="single" w:sz="4" w:space="0" w:color="auto"/>
              <w:right w:val="single" w:sz="4" w:space="0" w:color="auto"/>
            </w:tcBorders>
            <w:noWrap/>
            <w:vAlign w:val="bottom"/>
            <w:hideMark/>
          </w:tcPr>
          <w:p w14:paraId="1880DF84"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1,870</w:t>
            </w:r>
          </w:p>
        </w:tc>
        <w:tc>
          <w:tcPr>
            <w:tcW w:w="1820" w:type="dxa"/>
            <w:tcBorders>
              <w:top w:val="nil"/>
              <w:left w:val="nil"/>
              <w:bottom w:val="single" w:sz="4" w:space="0" w:color="auto"/>
              <w:right w:val="single" w:sz="4" w:space="0" w:color="auto"/>
            </w:tcBorders>
            <w:noWrap/>
            <w:vAlign w:val="bottom"/>
            <w:hideMark/>
          </w:tcPr>
          <w:p w14:paraId="230B82A0"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2.57%</w:t>
            </w:r>
          </w:p>
        </w:tc>
        <w:tc>
          <w:tcPr>
            <w:tcW w:w="960" w:type="dxa"/>
            <w:tcBorders>
              <w:top w:val="nil"/>
              <w:left w:val="nil"/>
              <w:bottom w:val="single" w:sz="4" w:space="0" w:color="auto"/>
              <w:right w:val="single" w:sz="4" w:space="0" w:color="auto"/>
            </w:tcBorders>
            <w:noWrap/>
            <w:vAlign w:val="bottom"/>
            <w:hideMark/>
          </w:tcPr>
          <w:p w14:paraId="0B9F0C65"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w:t>
            </w:r>
          </w:p>
        </w:tc>
      </w:tr>
      <w:tr w:rsidR="004A4F0C" w:rsidRPr="004A4F0C" w14:paraId="5499145E" w14:textId="77777777" w:rsidTr="004A4F0C">
        <w:trPr>
          <w:trHeight w:val="288"/>
        </w:trPr>
        <w:tc>
          <w:tcPr>
            <w:tcW w:w="1680" w:type="dxa"/>
            <w:tcBorders>
              <w:top w:val="nil"/>
              <w:left w:val="single" w:sz="4" w:space="0" w:color="auto"/>
              <w:bottom w:val="single" w:sz="4" w:space="0" w:color="auto"/>
              <w:right w:val="single" w:sz="4" w:space="0" w:color="auto"/>
            </w:tcBorders>
            <w:noWrap/>
            <w:vAlign w:val="bottom"/>
            <w:hideMark/>
          </w:tcPr>
          <w:p w14:paraId="15882F1B"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Rishton</w:t>
            </w:r>
          </w:p>
        </w:tc>
        <w:tc>
          <w:tcPr>
            <w:tcW w:w="1580" w:type="dxa"/>
            <w:tcBorders>
              <w:top w:val="nil"/>
              <w:left w:val="nil"/>
              <w:bottom w:val="single" w:sz="4" w:space="0" w:color="auto"/>
              <w:right w:val="single" w:sz="4" w:space="0" w:color="auto"/>
            </w:tcBorders>
            <w:noWrap/>
            <w:vAlign w:val="bottom"/>
            <w:hideMark/>
          </w:tcPr>
          <w:p w14:paraId="2483E52B"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w:t>
            </w:r>
          </w:p>
        </w:tc>
        <w:tc>
          <w:tcPr>
            <w:tcW w:w="1600" w:type="dxa"/>
            <w:tcBorders>
              <w:top w:val="nil"/>
              <w:left w:val="nil"/>
              <w:bottom w:val="single" w:sz="4" w:space="0" w:color="auto"/>
              <w:right w:val="single" w:sz="4" w:space="0" w:color="auto"/>
            </w:tcBorders>
            <w:noWrap/>
            <w:vAlign w:val="bottom"/>
            <w:hideMark/>
          </w:tcPr>
          <w:p w14:paraId="72FB6B99"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46</w:t>
            </w:r>
          </w:p>
        </w:tc>
        <w:tc>
          <w:tcPr>
            <w:tcW w:w="1380" w:type="dxa"/>
            <w:tcBorders>
              <w:top w:val="nil"/>
              <w:left w:val="nil"/>
              <w:bottom w:val="single" w:sz="4" w:space="0" w:color="auto"/>
              <w:right w:val="single" w:sz="4" w:space="0" w:color="auto"/>
            </w:tcBorders>
            <w:noWrap/>
            <w:vAlign w:val="bottom"/>
            <w:hideMark/>
          </w:tcPr>
          <w:p w14:paraId="325BC9A3"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47</w:t>
            </w:r>
          </w:p>
        </w:tc>
        <w:tc>
          <w:tcPr>
            <w:tcW w:w="1600" w:type="dxa"/>
            <w:tcBorders>
              <w:top w:val="nil"/>
              <w:left w:val="nil"/>
              <w:bottom w:val="single" w:sz="4" w:space="0" w:color="auto"/>
              <w:right w:val="single" w:sz="4" w:space="0" w:color="auto"/>
            </w:tcBorders>
            <w:noWrap/>
            <w:vAlign w:val="bottom"/>
            <w:hideMark/>
          </w:tcPr>
          <w:p w14:paraId="06535234"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9.36%</w:t>
            </w:r>
          </w:p>
        </w:tc>
        <w:tc>
          <w:tcPr>
            <w:tcW w:w="1480" w:type="dxa"/>
            <w:tcBorders>
              <w:top w:val="nil"/>
              <w:left w:val="nil"/>
              <w:bottom w:val="single" w:sz="4" w:space="0" w:color="auto"/>
              <w:right w:val="single" w:sz="4" w:space="0" w:color="auto"/>
            </w:tcBorders>
            <w:noWrap/>
            <w:vAlign w:val="bottom"/>
            <w:hideMark/>
          </w:tcPr>
          <w:p w14:paraId="45853C27" w14:textId="77777777" w:rsidR="004A4F0C" w:rsidRPr="004A4F0C" w:rsidRDefault="004A4F0C" w:rsidP="004A4F0C">
            <w:pPr>
              <w:spacing w:after="0" w:line="240" w:lineRule="auto"/>
              <w:jc w:val="right"/>
              <w:rPr>
                <w:rFonts w:ascii="Calibri" w:eastAsia="Times New Roman" w:hAnsi="Calibri" w:cs="Calibri"/>
                <w:lang w:eastAsia="en-GB"/>
              </w:rPr>
            </w:pPr>
            <w:r w:rsidRPr="004A4F0C">
              <w:rPr>
                <w:rFonts w:ascii="Calibri" w:eastAsia="Times New Roman" w:hAnsi="Calibri" w:cs="Calibri"/>
                <w:lang w:eastAsia="en-GB"/>
              </w:rPr>
              <w:t>5</w:t>
            </w:r>
          </w:p>
        </w:tc>
        <w:tc>
          <w:tcPr>
            <w:tcW w:w="1880" w:type="dxa"/>
            <w:tcBorders>
              <w:top w:val="nil"/>
              <w:left w:val="nil"/>
              <w:bottom w:val="single" w:sz="4" w:space="0" w:color="auto"/>
              <w:right w:val="single" w:sz="4" w:space="0" w:color="auto"/>
            </w:tcBorders>
            <w:noWrap/>
            <w:vAlign w:val="bottom"/>
            <w:hideMark/>
          </w:tcPr>
          <w:p w14:paraId="236184E7"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2,740</w:t>
            </w:r>
          </w:p>
        </w:tc>
        <w:tc>
          <w:tcPr>
            <w:tcW w:w="1820" w:type="dxa"/>
            <w:tcBorders>
              <w:top w:val="nil"/>
              <w:left w:val="nil"/>
              <w:bottom w:val="single" w:sz="4" w:space="0" w:color="auto"/>
              <w:right w:val="single" w:sz="4" w:space="0" w:color="auto"/>
            </w:tcBorders>
            <w:noWrap/>
            <w:vAlign w:val="bottom"/>
            <w:hideMark/>
          </w:tcPr>
          <w:p w14:paraId="6F34587F"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1.72%</w:t>
            </w:r>
          </w:p>
        </w:tc>
        <w:tc>
          <w:tcPr>
            <w:tcW w:w="960" w:type="dxa"/>
            <w:tcBorders>
              <w:top w:val="nil"/>
              <w:left w:val="nil"/>
              <w:bottom w:val="single" w:sz="4" w:space="0" w:color="auto"/>
              <w:right w:val="single" w:sz="4" w:space="0" w:color="auto"/>
            </w:tcBorders>
            <w:noWrap/>
            <w:vAlign w:val="bottom"/>
            <w:hideMark/>
          </w:tcPr>
          <w:p w14:paraId="46340463"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8</w:t>
            </w:r>
          </w:p>
        </w:tc>
      </w:tr>
      <w:tr w:rsidR="004A4F0C" w:rsidRPr="004A4F0C" w14:paraId="656DE510" w14:textId="77777777" w:rsidTr="004A4F0C">
        <w:trPr>
          <w:trHeight w:val="288"/>
        </w:trPr>
        <w:tc>
          <w:tcPr>
            <w:tcW w:w="1680" w:type="dxa"/>
            <w:tcBorders>
              <w:top w:val="nil"/>
              <w:left w:val="single" w:sz="4" w:space="0" w:color="auto"/>
              <w:bottom w:val="single" w:sz="4" w:space="0" w:color="auto"/>
              <w:right w:val="single" w:sz="4" w:space="0" w:color="auto"/>
            </w:tcBorders>
            <w:noWrap/>
            <w:vAlign w:val="bottom"/>
            <w:hideMark/>
          </w:tcPr>
          <w:p w14:paraId="0FAF4227"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Spring Hill</w:t>
            </w:r>
          </w:p>
        </w:tc>
        <w:tc>
          <w:tcPr>
            <w:tcW w:w="1580" w:type="dxa"/>
            <w:tcBorders>
              <w:top w:val="nil"/>
              <w:left w:val="nil"/>
              <w:bottom w:val="single" w:sz="4" w:space="0" w:color="auto"/>
              <w:right w:val="single" w:sz="4" w:space="0" w:color="auto"/>
            </w:tcBorders>
            <w:noWrap/>
            <w:vAlign w:val="bottom"/>
            <w:hideMark/>
          </w:tcPr>
          <w:p w14:paraId="51898A23"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0</w:t>
            </w:r>
          </w:p>
        </w:tc>
        <w:tc>
          <w:tcPr>
            <w:tcW w:w="1600" w:type="dxa"/>
            <w:tcBorders>
              <w:top w:val="nil"/>
              <w:left w:val="nil"/>
              <w:bottom w:val="single" w:sz="4" w:space="0" w:color="auto"/>
              <w:right w:val="single" w:sz="4" w:space="0" w:color="auto"/>
            </w:tcBorders>
            <w:noWrap/>
            <w:vAlign w:val="bottom"/>
            <w:hideMark/>
          </w:tcPr>
          <w:p w14:paraId="248554DB"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43</w:t>
            </w:r>
          </w:p>
        </w:tc>
        <w:tc>
          <w:tcPr>
            <w:tcW w:w="1380" w:type="dxa"/>
            <w:tcBorders>
              <w:top w:val="nil"/>
              <w:left w:val="nil"/>
              <w:bottom w:val="single" w:sz="4" w:space="0" w:color="auto"/>
              <w:right w:val="single" w:sz="4" w:space="0" w:color="auto"/>
            </w:tcBorders>
            <w:noWrap/>
            <w:vAlign w:val="bottom"/>
            <w:hideMark/>
          </w:tcPr>
          <w:p w14:paraId="2A151DDE"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43</w:t>
            </w:r>
          </w:p>
        </w:tc>
        <w:tc>
          <w:tcPr>
            <w:tcW w:w="1600" w:type="dxa"/>
            <w:tcBorders>
              <w:top w:val="nil"/>
              <w:left w:val="nil"/>
              <w:bottom w:val="single" w:sz="4" w:space="0" w:color="auto"/>
              <w:right w:val="single" w:sz="4" w:space="0" w:color="auto"/>
            </w:tcBorders>
            <w:noWrap/>
            <w:vAlign w:val="bottom"/>
            <w:hideMark/>
          </w:tcPr>
          <w:p w14:paraId="07278BFE"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8.57%</w:t>
            </w:r>
          </w:p>
        </w:tc>
        <w:tc>
          <w:tcPr>
            <w:tcW w:w="1480" w:type="dxa"/>
            <w:tcBorders>
              <w:top w:val="nil"/>
              <w:left w:val="nil"/>
              <w:bottom w:val="single" w:sz="4" w:space="0" w:color="auto"/>
              <w:right w:val="single" w:sz="4" w:space="0" w:color="auto"/>
            </w:tcBorders>
            <w:noWrap/>
            <w:vAlign w:val="bottom"/>
            <w:hideMark/>
          </w:tcPr>
          <w:p w14:paraId="1332478C" w14:textId="77777777" w:rsidR="004A4F0C" w:rsidRPr="004A4F0C" w:rsidRDefault="004A4F0C" w:rsidP="004A4F0C">
            <w:pPr>
              <w:spacing w:after="0" w:line="240" w:lineRule="auto"/>
              <w:jc w:val="right"/>
              <w:rPr>
                <w:rFonts w:ascii="Calibri" w:eastAsia="Times New Roman" w:hAnsi="Calibri" w:cs="Calibri"/>
                <w:lang w:eastAsia="en-GB"/>
              </w:rPr>
            </w:pPr>
            <w:r w:rsidRPr="004A4F0C">
              <w:rPr>
                <w:rFonts w:ascii="Calibri" w:eastAsia="Times New Roman" w:hAnsi="Calibri" w:cs="Calibri"/>
                <w:lang w:eastAsia="en-GB"/>
              </w:rPr>
              <w:t>6</w:t>
            </w:r>
          </w:p>
        </w:tc>
        <w:tc>
          <w:tcPr>
            <w:tcW w:w="1880" w:type="dxa"/>
            <w:tcBorders>
              <w:top w:val="nil"/>
              <w:left w:val="nil"/>
              <w:bottom w:val="single" w:sz="4" w:space="0" w:color="auto"/>
              <w:right w:val="single" w:sz="4" w:space="0" w:color="auto"/>
            </w:tcBorders>
            <w:noWrap/>
            <w:vAlign w:val="bottom"/>
            <w:hideMark/>
          </w:tcPr>
          <w:p w14:paraId="0AEF8926"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2,410</w:t>
            </w:r>
          </w:p>
        </w:tc>
        <w:tc>
          <w:tcPr>
            <w:tcW w:w="1820" w:type="dxa"/>
            <w:tcBorders>
              <w:top w:val="nil"/>
              <w:left w:val="nil"/>
              <w:bottom w:val="single" w:sz="4" w:space="0" w:color="auto"/>
              <w:right w:val="single" w:sz="4" w:space="0" w:color="auto"/>
            </w:tcBorders>
            <w:noWrap/>
            <w:vAlign w:val="bottom"/>
            <w:hideMark/>
          </w:tcPr>
          <w:p w14:paraId="226D2EA1"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1.78%</w:t>
            </w:r>
          </w:p>
        </w:tc>
        <w:tc>
          <w:tcPr>
            <w:tcW w:w="960" w:type="dxa"/>
            <w:tcBorders>
              <w:top w:val="nil"/>
              <w:left w:val="nil"/>
              <w:bottom w:val="single" w:sz="4" w:space="0" w:color="auto"/>
              <w:right w:val="single" w:sz="4" w:space="0" w:color="auto"/>
            </w:tcBorders>
            <w:noWrap/>
            <w:vAlign w:val="bottom"/>
            <w:hideMark/>
          </w:tcPr>
          <w:p w14:paraId="51A29654"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7</w:t>
            </w:r>
          </w:p>
        </w:tc>
      </w:tr>
      <w:tr w:rsidR="004A4F0C" w:rsidRPr="004A4F0C" w14:paraId="7367E114" w14:textId="77777777" w:rsidTr="004A4F0C">
        <w:trPr>
          <w:trHeight w:val="288"/>
        </w:trPr>
        <w:tc>
          <w:tcPr>
            <w:tcW w:w="1680" w:type="dxa"/>
            <w:tcBorders>
              <w:top w:val="nil"/>
              <w:left w:val="single" w:sz="4" w:space="0" w:color="auto"/>
              <w:bottom w:val="single" w:sz="4" w:space="0" w:color="auto"/>
              <w:right w:val="single" w:sz="4" w:space="0" w:color="auto"/>
            </w:tcBorders>
            <w:noWrap/>
            <w:vAlign w:val="bottom"/>
            <w:hideMark/>
          </w:tcPr>
          <w:p w14:paraId="43F97AC4"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St Andrews</w:t>
            </w:r>
          </w:p>
        </w:tc>
        <w:tc>
          <w:tcPr>
            <w:tcW w:w="1580" w:type="dxa"/>
            <w:tcBorders>
              <w:top w:val="nil"/>
              <w:left w:val="nil"/>
              <w:bottom w:val="single" w:sz="4" w:space="0" w:color="auto"/>
              <w:right w:val="single" w:sz="4" w:space="0" w:color="auto"/>
            </w:tcBorders>
            <w:noWrap/>
            <w:vAlign w:val="bottom"/>
            <w:hideMark/>
          </w:tcPr>
          <w:p w14:paraId="54E796E1"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3</w:t>
            </w:r>
          </w:p>
        </w:tc>
        <w:tc>
          <w:tcPr>
            <w:tcW w:w="1600" w:type="dxa"/>
            <w:tcBorders>
              <w:top w:val="nil"/>
              <w:left w:val="nil"/>
              <w:bottom w:val="single" w:sz="4" w:space="0" w:color="auto"/>
              <w:right w:val="single" w:sz="4" w:space="0" w:color="auto"/>
            </w:tcBorders>
            <w:noWrap/>
            <w:vAlign w:val="bottom"/>
            <w:hideMark/>
          </w:tcPr>
          <w:p w14:paraId="5394223C"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38</w:t>
            </w:r>
          </w:p>
        </w:tc>
        <w:tc>
          <w:tcPr>
            <w:tcW w:w="1380" w:type="dxa"/>
            <w:tcBorders>
              <w:top w:val="nil"/>
              <w:left w:val="nil"/>
              <w:bottom w:val="single" w:sz="4" w:space="0" w:color="auto"/>
              <w:right w:val="single" w:sz="4" w:space="0" w:color="auto"/>
            </w:tcBorders>
            <w:noWrap/>
            <w:vAlign w:val="bottom"/>
            <w:hideMark/>
          </w:tcPr>
          <w:p w14:paraId="74F2323B"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41</w:t>
            </w:r>
          </w:p>
        </w:tc>
        <w:tc>
          <w:tcPr>
            <w:tcW w:w="1600" w:type="dxa"/>
            <w:tcBorders>
              <w:top w:val="nil"/>
              <w:left w:val="nil"/>
              <w:bottom w:val="single" w:sz="4" w:space="0" w:color="auto"/>
              <w:right w:val="single" w:sz="4" w:space="0" w:color="auto"/>
            </w:tcBorders>
            <w:noWrap/>
            <w:vAlign w:val="bottom"/>
            <w:hideMark/>
          </w:tcPr>
          <w:p w14:paraId="0A7E0ADB"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8.17%</w:t>
            </w:r>
          </w:p>
        </w:tc>
        <w:tc>
          <w:tcPr>
            <w:tcW w:w="1480" w:type="dxa"/>
            <w:tcBorders>
              <w:top w:val="nil"/>
              <w:left w:val="nil"/>
              <w:bottom w:val="single" w:sz="4" w:space="0" w:color="auto"/>
              <w:right w:val="single" w:sz="4" w:space="0" w:color="auto"/>
            </w:tcBorders>
            <w:noWrap/>
            <w:vAlign w:val="bottom"/>
            <w:hideMark/>
          </w:tcPr>
          <w:p w14:paraId="20732C22" w14:textId="77777777" w:rsidR="004A4F0C" w:rsidRPr="004A4F0C" w:rsidRDefault="004A4F0C" w:rsidP="004A4F0C">
            <w:pPr>
              <w:spacing w:after="0" w:line="240" w:lineRule="auto"/>
              <w:jc w:val="right"/>
              <w:rPr>
                <w:rFonts w:ascii="Calibri" w:eastAsia="Times New Roman" w:hAnsi="Calibri" w:cs="Calibri"/>
                <w:lang w:eastAsia="en-GB"/>
              </w:rPr>
            </w:pPr>
            <w:r w:rsidRPr="004A4F0C">
              <w:rPr>
                <w:rFonts w:ascii="Calibri" w:eastAsia="Times New Roman" w:hAnsi="Calibri" w:cs="Calibri"/>
                <w:lang w:eastAsia="en-GB"/>
              </w:rPr>
              <w:t>7</w:t>
            </w:r>
          </w:p>
        </w:tc>
        <w:tc>
          <w:tcPr>
            <w:tcW w:w="1880" w:type="dxa"/>
            <w:tcBorders>
              <w:top w:val="nil"/>
              <w:left w:val="nil"/>
              <w:bottom w:val="single" w:sz="4" w:space="0" w:color="auto"/>
              <w:right w:val="single" w:sz="4" w:space="0" w:color="auto"/>
            </w:tcBorders>
            <w:noWrap/>
            <w:vAlign w:val="bottom"/>
            <w:hideMark/>
          </w:tcPr>
          <w:p w14:paraId="7D70CD25"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1,880</w:t>
            </w:r>
          </w:p>
        </w:tc>
        <w:tc>
          <w:tcPr>
            <w:tcW w:w="1820" w:type="dxa"/>
            <w:tcBorders>
              <w:top w:val="nil"/>
              <w:left w:val="nil"/>
              <w:bottom w:val="single" w:sz="4" w:space="0" w:color="auto"/>
              <w:right w:val="single" w:sz="4" w:space="0" w:color="auto"/>
            </w:tcBorders>
            <w:noWrap/>
            <w:vAlign w:val="bottom"/>
            <w:hideMark/>
          </w:tcPr>
          <w:p w14:paraId="6B7AF881"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2.18%</w:t>
            </w:r>
          </w:p>
        </w:tc>
        <w:tc>
          <w:tcPr>
            <w:tcW w:w="960" w:type="dxa"/>
            <w:tcBorders>
              <w:top w:val="nil"/>
              <w:left w:val="nil"/>
              <w:bottom w:val="single" w:sz="4" w:space="0" w:color="auto"/>
              <w:right w:val="single" w:sz="4" w:space="0" w:color="auto"/>
            </w:tcBorders>
            <w:noWrap/>
            <w:vAlign w:val="bottom"/>
            <w:hideMark/>
          </w:tcPr>
          <w:p w14:paraId="679C54A3"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5</w:t>
            </w:r>
          </w:p>
        </w:tc>
      </w:tr>
      <w:tr w:rsidR="004A4F0C" w:rsidRPr="004A4F0C" w14:paraId="64679CBC" w14:textId="77777777" w:rsidTr="004A4F0C">
        <w:trPr>
          <w:trHeight w:val="288"/>
        </w:trPr>
        <w:tc>
          <w:tcPr>
            <w:tcW w:w="1680" w:type="dxa"/>
            <w:tcBorders>
              <w:top w:val="nil"/>
              <w:left w:val="single" w:sz="4" w:space="0" w:color="auto"/>
              <w:bottom w:val="single" w:sz="4" w:space="0" w:color="auto"/>
              <w:right w:val="single" w:sz="4" w:space="0" w:color="auto"/>
            </w:tcBorders>
            <w:shd w:val="clear" w:color="000000" w:fill="E4DFEC"/>
            <w:noWrap/>
            <w:vAlign w:val="bottom"/>
            <w:hideMark/>
          </w:tcPr>
          <w:p w14:paraId="7332C3BC" w14:textId="77777777" w:rsidR="004A4F0C" w:rsidRPr="004A4F0C" w:rsidRDefault="004A4F0C" w:rsidP="004A4F0C">
            <w:pPr>
              <w:spacing w:after="0" w:line="240" w:lineRule="auto"/>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St Oswalds</w:t>
            </w:r>
          </w:p>
        </w:tc>
        <w:tc>
          <w:tcPr>
            <w:tcW w:w="1580" w:type="dxa"/>
            <w:tcBorders>
              <w:top w:val="nil"/>
              <w:left w:val="nil"/>
              <w:bottom w:val="single" w:sz="4" w:space="0" w:color="auto"/>
              <w:right w:val="single" w:sz="4" w:space="0" w:color="auto"/>
            </w:tcBorders>
            <w:shd w:val="clear" w:color="000000" w:fill="E4DFEC"/>
            <w:noWrap/>
            <w:vAlign w:val="bottom"/>
            <w:hideMark/>
          </w:tcPr>
          <w:p w14:paraId="7D8BECB8"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w:t>
            </w:r>
          </w:p>
        </w:tc>
        <w:tc>
          <w:tcPr>
            <w:tcW w:w="1600" w:type="dxa"/>
            <w:tcBorders>
              <w:top w:val="nil"/>
              <w:left w:val="nil"/>
              <w:bottom w:val="single" w:sz="4" w:space="0" w:color="auto"/>
              <w:right w:val="single" w:sz="4" w:space="0" w:color="auto"/>
            </w:tcBorders>
            <w:shd w:val="clear" w:color="000000" w:fill="E4DFEC"/>
            <w:noWrap/>
            <w:vAlign w:val="bottom"/>
            <w:hideMark/>
          </w:tcPr>
          <w:p w14:paraId="7C053E8F"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10</w:t>
            </w:r>
          </w:p>
        </w:tc>
        <w:tc>
          <w:tcPr>
            <w:tcW w:w="1380" w:type="dxa"/>
            <w:tcBorders>
              <w:top w:val="nil"/>
              <w:left w:val="nil"/>
              <w:bottom w:val="single" w:sz="4" w:space="0" w:color="auto"/>
              <w:right w:val="single" w:sz="4" w:space="0" w:color="auto"/>
            </w:tcBorders>
            <w:shd w:val="clear" w:color="000000" w:fill="E4DFEC"/>
            <w:noWrap/>
            <w:vAlign w:val="bottom"/>
            <w:hideMark/>
          </w:tcPr>
          <w:p w14:paraId="703DED8E"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10</w:t>
            </w:r>
          </w:p>
        </w:tc>
        <w:tc>
          <w:tcPr>
            <w:tcW w:w="1600" w:type="dxa"/>
            <w:tcBorders>
              <w:top w:val="nil"/>
              <w:left w:val="nil"/>
              <w:bottom w:val="single" w:sz="4" w:space="0" w:color="auto"/>
              <w:right w:val="single" w:sz="4" w:space="0" w:color="auto"/>
            </w:tcBorders>
            <w:shd w:val="clear" w:color="000000" w:fill="E4DFEC"/>
            <w:noWrap/>
            <w:vAlign w:val="bottom"/>
            <w:hideMark/>
          </w:tcPr>
          <w:p w14:paraId="12CF594C"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1.99%</w:t>
            </w:r>
          </w:p>
        </w:tc>
        <w:tc>
          <w:tcPr>
            <w:tcW w:w="1480" w:type="dxa"/>
            <w:tcBorders>
              <w:top w:val="nil"/>
              <w:left w:val="nil"/>
              <w:bottom w:val="single" w:sz="4" w:space="0" w:color="auto"/>
              <w:right w:val="single" w:sz="4" w:space="0" w:color="auto"/>
            </w:tcBorders>
            <w:shd w:val="clear" w:color="000000" w:fill="E4DFEC"/>
            <w:noWrap/>
            <w:vAlign w:val="bottom"/>
            <w:hideMark/>
          </w:tcPr>
          <w:p w14:paraId="37A18410"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14</w:t>
            </w:r>
          </w:p>
        </w:tc>
        <w:tc>
          <w:tcPr>
            <w:tcW w:w="1880" w:type="dxa"/>
            <w:tcBorders>
              <w:top w:val="nil"/>
              <w:left w:val="nil"/>
              <w:bottom w:val="single" w:sz="4" w:space="0" w:color="auto"/>
              <w:right w:val="single" w:sz="4" w:space="0" w:color="auto"/>
            </w:tcBorders>
            <w:shd w:val="clear" w:color="000000" w:fill="E4DFEC"/>
            <w:noWrap/>
            <w:vAlign w:val="bottom"/>
            <w:hideMark/>
          </w:tcPr>
          <w:p w14:paraId="4A543048"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2,660</w:t>
            </w:r>
          </w:p>
        </w:tc>
        <w:tc>
          <w:tcPr>
            <w:tcW w:w="1820" w:type="dxa"/>
            <w:tcBorders>
              <w:top w:val="nil"/>
              <w:left w:val="nil"/>
              <w:bottom w:val="single" w:sz="4" w:space="0" w:color="auto"/>
              <w:right w:val="single" w:sz="4" w:space="0" w:color="auto"/>
            </w:tcBorders>
            <w:shd w:val="clear" w:color="000000" w:fill="E4DFEC"/>
            <w:noWrap/>
            <w:vAlign w:val="bottom"/>
            <w:hideMark/>
          </w:tcPr>
          <w:p w14:paraId="1ACD0529"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0.38%</w:t>
            </w:r>
          </w:p>
        </w:tc>
        <w:tc>
          <w:tcPr>
            <w:tcW w:w="960" w:type="dxa"/>
            <w:tcBorders>
              <w:top w:val="nil"/>
              <w:left w:val="nil"/>
              <w:bottom w:val="single" w:sz="4" w:space="0" w:color="auto"/>
              <w:right w:val="single" w:sz="4" w:space="0" w:color="auto"/>
            </w:tcBorders>
            <w:shd w:val="clear" w:color="000000" w:fill="E4DFEC"/>
            <w:noWrap/>
            <w:vAlign w:val="bottom"/>
            <w:hideMark/>
          </w:tcPr>
          <w:p w14:paraId="464BC8EA" w14:textId="77777777" w:rsidR="004A4F0C" w:rsidRPr="004A4F0C" w:rsidRDefault="004A4F0C" w:rsidP="004A4F0C">
            <w:pPr>
              <w:spacing w:after="0" w:line="240" w:lineRule="auto"/>
              <w:jc w:val="right"/>
              <w:rPr>
                <w:rFonts w:ascii="Calibri" w:eastAsia="Times New Roman" w:hAnsi="Calibri" w:cs="Calibri"/>
                <w:b/>
                <w:bCs/>
                <w:color w:val="7030A0"/>
                <w:lang w:eastAsia="en-GB"/>
              </w:rPr>
            </w:pPr>
            <w:r w:rsidRPr="004A4F0C">
              <w:rPr>
                <w:rFonts w:ascii="Calibri" w:eastAsia="Times New Roman" w:hAnsi="Calibri" w:cs="Calibri"/>
                <w:b/>
                <w:bCs/>
                <w:color w:val="7030A0"/>
                <w:lang w:eastAsia="en-GB"/>
              </w:rPr>
              <w:t>15</w:t>
            </w:r>
          </w:p>
        </w:tc>
      </w:tr>
      <w:tr w:rsidR="004A4F0C" w:rsidRPr="004A4F0C" w14:paraId="2CE41293" w14:textId="77777777" w:rsidTr="004A4F0C">
        <w:trPr>
          <w:trHeight w:val="288"/>
        </w:trPr>
        <w:tc>
          <w:tcPr>
            <w:tcW w:w="1680" w:type="dxa"/>
            <w:tcBorders>
              <w:top w:val="nil"/>
              <w:left w:val="single" w:sz="4" w:space="0" w:color="auto"/>
              <w:bottom w:val="single" w:sz="4" w:space="0" w:color="auto"/>
              <w:right w:val="single" w:sz="4" w:space="0" w:color="auto"/>
            </w:tcBorders>
            <w:noWrap/>
            <w:vAlign w:val="bottom"/>
            <w:hideMark/>
          </w:tcPr>
          <w:p w14:paraId="75F4CF6E"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Total</w:t>
            </w:r>
          </w:p>
        </w:tc>
        <w:tc>
          <w:tcPr>
            <w:tcW w:w="1580" w:type="dxa"/>
            <w:tcBorders>
              <w:top w:val="nil"/>
              <w:left w:val="nil"/>
              <w:bottom w:val="single" w:sz="4" w:space="0" w:color="auto"/>
              <w:right w:val="single" w:sz="4" w:space="0" w:color="auto"/>
            </w:tcBorders>
            <w:noWrap/>
            <w:vAlign w:val="bottom"/>
            <w:hideMark/>
          </w:tcPr>
          <w:p w14:paraId="4BC6A7D2"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16</w:t>
            </w:r>
          </w:p>
        </w:tc>
        <w:tc>
          <w:tcPr>
            <w:tcW w:w="1600" w:type="dxa"/>
            <w:tcBorders>
              <w:top w:val="nil"/>
              <w:left w:val="nil"/>
              <w:bottom w:val="single" w:sz="4" w:space="0" w:color="auto"/>
              <w:right w:val="single" w:sz="4" w:space="0" w:color="auto"/>
            </w:tcBorders>
            <w:noWrap/>
            <w:vAlign w:val="bottom"/>
            <w:hideMark/>
          </w:tcPr>
          <w:p w14:paraId="1F20FCAE"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486</w:t>
            </w:r>
          </w:p>
        </w:tc>
        <w:tc>
          <w:tcPr>
            <w:tcW w:w="1380" w:type="dxa"/>
            <w:tcBorders>
              <w:top w:val="nil"/>
              <w:left w:val="nil"/>
              <w:bottom w:val="single" w:sz="4" w:space="0" w:color="auto"/>
              <w:right w:val="single" w:sz="4" w:space="0" w:color="auto"/>
            </w:tcBorders>
            <w:noWrap/>
            <w:vAlign w:val="bottom"/>
            <w:hideMark/>
          </w:tcPr>
          <w:p w14:paraId="4F8A6D6F"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502</w:t>
            </w:r>
          </w:p>
        </w:tc>
        <w:tc>
          <w:tcPr>
            <w:tcW w:w="1600" w:type="dxa"/>
            <w:tcBorders>
              <w:top w:val="nil"/>
              <w:left w:val="nil"/>
              <w:bottom w:val="single" w:sz="4" w:space="0" w:color="auto"/>
              <w:right w:val="single" w:sz="4" w:space="0" w:color="auto"/>
            </w:tcBorders>
            <w:noWrap/>
            <w:vAlign w:val="bottom"/>
            <w:hideMark/>
          </w:tcPr>
          <w:p w14:paraId="0C952D72"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100.00%</w:t>
            </w:r>
          </w:p>
        </w:tc>
        <w:tc>
          <w:tcPr>
            <w:tcW w:w="1480" w:type="dxa"/>
            <w:tcBorders>
              <w:top w:val="nil"/>
              <w:left w:val="nil"/>
              <w:bottom w:val="single" w:sz="4" w:space="0" w:color="auto"/>
              <w:right w:val="single" w:sz="4" w:space="0" w:color="auto"/>
            </w:tcBorders>
            <w:noWrap/>
            <w:vAlign w:val="bottom"/>
            <w:hideMark/>
          </w:tcPr>
          <w:p w14:paraId="51FD1407"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w:t>
            </w:r>
          </w:p>
        </w:tc>
        <w:tc>
          <w:tcPr>
            <w:tcW w:w="1880" w:type="dxa"/>
            <w:tcBorders>
              <w:top w:val="nil"/>
              <w:left w:val="nil"/>
              <w:bottom w:val="single" w:sz="4" w:space="0" w:color="auto"/>
              <w:right w:val="single" w:sz="4" w:space="0" w:color="auto"/>
            </w:tcBorders>
            <w:noWrap/>
            <w:vAlign w:val="bottom"/>
            <w:hideMark/>
          </w:tcPr>
          <w:p w14:paraId="74F6316C"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34,630</w:t>
            </w:r>
          </w:p>
        </w:tc>
        <w:tc>
          <w:tcPr>
            <w:tcW w:w="1820" w:type="dxa"/>
            <w:tcBorders>
              <w:top w:val="nil"/>
              <w:left w:val="nil"/>
              <w:bottom w:val="single" w:sz="4" w:space="0" w:color="auto"/>
              <w:right w:val="single" w:sz="4" w:space="0" w:color="auto"/>
            </w:tcBorders>
            <w:noWrap/>
            <w:vAlign w:val="bottom"/>
            <w:hideMark/>
          </w:tcPr>
          <w:p w14:paraId="23D2F71E" w14:textId="77777777" w:rsidR="004A4F0C" w:rsidRPr="004A4F0C" w:rsidRDefault="004A4F0C" w:rsidP="004A4F0C">
            <w:pPr>
              <w:spacing w:after="0" w:line="240" w:lineRule="auto"/>
              <w:jc w:val="right"/>
              <w:rPr>
                <w:rFonts w:ascii="Calibri" w:eastAsia="Times New Roman" w:hAnsi="Calibri" w:cs="Calibri"/>
                <w:color w:val="000000"/>
                <w:lang w:eastAsia="en-GB"/>
              </w:rPr>
            </w:pPr>
            <w:r w:rsidRPr="004A4F0C">
              <w:rPr>
                <w:rFonts w:ascii="Calibri" w:eastAsia="Times New Roman" w:hAnsi="Calibri" w:cs="Calibri"/>
                <w:color w:val="000000"/>
                <w:lang w:eastAsia="en-GB"/>
              </w:rPr>
              <w:t>1.45%</w:t>
            </w:r>
          </w:p>
        </w:tc>
        <w:tc>
          <w:tcPr>
            <w:tcW w:w="960" w:type="dxa"/>
            <w:tcBorders>
              <w:top w:val="nil"/>
              <w:left w:val="nil"/>
              <w:bottom w:val="single" w:sz="4" w:space="0" w:color="auto"/>
              <w:right w:val="single" w:sz="4" w:space="0" w:color="auto"/>
            </w:tcBorders>
            <w:noWrap/>
            <w:vAlign w:val="bottom"/>
            <w:hideMark/>
          </w:tcPr>
          <w:p w14:paraId="6F5F0F8A" w14:textId="77777777" w:rsidR="004A4F0C" w:rsidRPr="004A4F0C" w:rsidRDefault="004A4F0C" w:rsidP="004A4F0C">
            <w:pPr>
              <w:spacing w:after="0" w:line="240" w:lineRule="auto"/>
              <w:rPr>
                <w:rFonts w:ascii="Calibri" w:eastAsia="Times New Roman" w:hAnsi="Calibri" w:cs="Calibri"/>
                <w:color w:val="000000"/>
                <w:lang w:eastAsia="en-GB"/>
              </w:rPr>
            </w:pPr>
            <w:r w:rsidRPr="004A4F0C">
              <w:rPr>
                <w:rFonts w:ascii="Calibri" w:eastAsia="Times New Roman" w:hAnsi="Calibri" w:cs="Calibri"/>
                <w:color w:val="000000"/>
                <w:lang w:eastAsia="en-GB"/>
              </w:rPr>
              <w:t>-</w:t>
            </w:r>
          </w:p>
        </w:tc>
      </w:tr>
    </w:tbl>
    <w:p w14:paraId="4737A55A" w14:textId="723D34BC" w:rsidR="005F74A9" w:rsidRPr="004A4F0C" w:rsidRDefault="004A4F0C" w:rsidP="004A4F0C">
      <w:pPr>
        <w:spacing w:after="0" w:line="300" w:lineRule="atLeast"/>
        <w:rPr>
          <w:rFonts w:ascii="Arial" w:hAnsi="Arial" w:cs="Arial"/>
        </w:rPr>
      </w:pPr>
      <w:r>
        <w:rPr>
          <w:rFonts w:ascii="Arial" w:hAnsi="Arial" w:cs="Arial"/>
        </w:rPr>
        <w:t>*Highlighted rows are those wards to which the proposed Article 4 direction would apply.</w:t>
      </w:r>
    </w:p>
    <w:p w14:paraId="20F60BA6" w14:textId="77777777" w:rsidR="004A4F0C" w:rsidRDefault="004A4F0C" w:rsidP="00E810AA">
      <w:pPr>
        <w:pStyle w:val="ListParagraph"/>
        <w:spacing w:after="0" w:line="300" w:lineRule="atLeast"/>
        <w:ind w:left="709"/>
        <w:contextualSpacing w:val="0"/>
        <w:rPr>
          <w:rFonts w:ascii="Arial" w:hAnsi="Arial" w:cs="Arial"/>
        </w:rPr>
      </w:pPr>
    </w:p>
    <w:p w14:paraId="49440511" w14:textId="77777777" w:rsidR="004A4F0C" w:rsidRDefault="004A4F0C" w:rsidP="00E810AA">
      <w:pPr>
        <w:pStyle w:val="ListParagraph"/>
        <w:spacing w:after="0" w:line="300" w:lineRule="atLeast"/>
        <w:ind w:left="709"/>
        <w:contextualSpacing w:val="0"/>
        <w:rPr>
          <w:rFonts w:ascii="Arial" w:hAnsi="Arial" w:cs="Arial"/>
        </w:rPr>
      </w:pPr>
    </w:p>
    <w:p w14:paraId="177A006F" w14:textId="77777777" w:rsidR="004A4F0C" w:rsidRDefault="004A4F0C" w:rsidP="00E810AA">
      <w:pPr>
        <w:pStyle w:val="ListParagraph"/>
        <w:spacing w:after="0" w:line="300" w:lineRule="atLeast"/>
        <w:ind w:left="709"/>
        <w:contextualSpacing w:val="0"/>
        <w:rPr>
          <w:rFonts w:ascii="Arial" w:hAnsi="Arial" w:cs="Arial"/>
        </w:rPr>
      </w:pPr>
    </w:p>
    <w:p w14:paraId="0E7079F8" w14:textId="77777777" w:rsidR="004A4F0C" w:rsidRDefault="004A4F0C" w:rsidP="00E810AA">
      <w:pPr>
        <w:pStyle w:val="ListParagraph"/>
        <w:spacing w:after="0" w:line="300" w:lineRule="atLeast"/>
        <w:ind w:left="709"/>
        <w:contextualSpacing w:val="0"/>
        <w:rPr>
          <w:rFonts w:ascii="Arial" w:hAnsi="Arial" w:cs="Arial"/>
        </w:rPr>
      </w:pPr>
    </w:p>
    <w:p w14:paraId="7F62F65A" w14:textId="77777777" w:rsidR="004A4F0C" w:rsidRDefault="004A4F0C" w:rsidP="00E810AA">
      <w:pPr>
        <w:pStyle w:val="ListParagraph"/>
        <w:spacing w:after="0" w:line="300" w:lineRule="atLeast"/>
        <w:ind w:left="709"/>
        <w:contextualSpacing w:val="0"/>
        <w:rPr>
          <w:rFonts w:ascii="Arial" w:hAnsi="Arial" w:cs="Arial"/>
        </w:rPr>
      </w:pPr>
    </w:p>
    <w:p w14:paraId="358E97A2" w14:textId="77777777" w:rsidR="004A4F0C" w:rsidRDefault="004A4F0C" w:rsidP="00E810AA">
      <w:pPr>
        <w:pStyle w:val="ListParagraph"/>
        <w:spacing w:after="0" w:line="300" w:lineRule="atLeast"/>
        <w:ind w:left="709"/>
        <w:contextualSpacing w:val="0"/>
        <w:rPr>
          <w:rFonts w:ascii="Arial" w:hAnsi="Arial" w:cs="Arial"/>
        </w:rPr>
        <w:sectPr w:rsidR="004A4F0C" w:rsidSect="001272BE">
          <w:pgSz w:w="16838" w:h="11906" w:orient="landscape"/>
          <w:pgMar w:top="1440" w:right="1440" w:bottom="1440" w:left="1440" w:header="708" w:footer="708" w:gutter="0"/>
          <w:cols w:space="708"/>
          <w:docGrid w:linePitch="360"/>
        </w:sectPr>
      </w:pPr>
    </w:p>
    <w:p w14:paraId="21CAACF1" w14:textId="77777777" w:rsidR="000B259C" w:rsidRPr="00841801" w:rsidRDefault="006A7331" w:rsidP="00E810AA">
      <w:pPr>
        <w:pStyle w:val="Heading1"/>
        <w:numPr>
          <w:ilvl w:val="0"/>
          <w:numId w:val="12"/>
        </w:numPr>
        <w:spacing w:before="0" w:line="300" w:lineRule="atLeast"/>
        <w:ind w:left="709" w:hanging="709"/>
        <w:rPr>
          <w:rFonts w:ascii="Arial" w:hAnsi="Arial" w:cs="Arial"/>
          <w:b/>
          <w:sz w:val="24"/>
          <w:szCs w:val="24"/>
        </w:rPr>
      </w:pPr>
      <w:bookmarkStart w:id="5" w:name="_Toc223633621"/>
      <w:r w:rsidRPr="00841801">
        <w:rPr>
          <w:rFonts w:ascii="Arial" w:hAnsi="Arial" w:cs="Arial"/>
          <w:b/>
          <w:sz w:val="24"/>
          <w:szCs w:val="24"/>
        </w:rPr>
        <w:lastRenderedPageBreak/>
        <w:t>Economic and Social Issues Associated with HMOs in</w:t>
      </w:r>
      <w:r w:rsidR="000B259C" w:rsidRPr="00841801">
        <w:rPr>
          <w:rFonts w:ascii="Arial" w:hAnsi="Arial" w:cs="Arial"/>
          <w:b/>
          <w:sz w:val="24"/>
          <w:szCs w:val="24"/>
        </w:rPr>
        <w:t xml:space="preserve"> Hyndburn</w:t>
      </w:r>
      <w:bookmarkEnd w:id="5"/>
    </w:p>
    <w:p w14:paraId="77595F75" w14:textId="77777777" w:rsidR="00085A56" w:rsidRPr="00E810AA" w:rsidRDefault="00085A56" w:rsidP="00E810AA">
      <w:pPr>
        <w:pStyle w:val="ListParagraph"/>
        <w:spacing w:after="0" w:line="300" w:lineRule="atLeast"/>
        <w:ind w:left="709"/>
        <w:contextualSpacing w:val="0"/>
        <w:rPr>
          <w:rFonts w:ascii="Arial" w:hAnsi="Arial" w:cs="Arial"/>
        </w:rPr>
      </w:pPr>
    </w:p>
    <w:p w14:paraId="3AAFF767" w14:textId="2C48C253" w:rsidR="000B259C" w:rsidRDefault="006F299F" w:rsidP="00E810AA">
      <w:pPr>
        <w:pStyle w:val="ListParagraph"/>
        <w:numPr>
          <w:ilvl w:val="1"/>
          <w:numId w:val="12"/>
        </w:numPr>
        <w:spacing w:after="0" w:line="300" w:lineRule="atLeast"/>
        <w:ind w:left="709" w:hanging="709"/>
        <w:contextualSpacing w:val="0"/>
        <w:rPr>
          <w:rFonts w:ascii="Arial" w:hAnsi="Arial" w:cs="Arial"/>
        </w:rPr>
      </w:pPr>
      <w:r>
        <w:rPr>
          <w:rFonts w:ascii="Arial" w:hAnsi="Arial" w:cs="Arial"/>
        </w:rPr>
        <w:t>T</w:t>
      </w:r>
      <w:r w:rsidR="006A7331" w:rsidRPr="00E810AA">
        <w:rPr>
          <w:rFonts w:ascii="Arial" w:hAnsi="Arial" w:cs="Arial"/>
        </w:rPr>
        <w:t>he impact of HMOs on the social and e</w:t>
      </w:r>
      <w:r w:rsidR="009E5B1A">
        <w:rPr>
          <w:rFonts w:ascii="Arial" w:hAnsi="Arial" w:cs="Arial"/>
        </w:rPr>
        <w:t>conomic well-being of</w:t>
      </w:r>
      <w:r w:rsidR="00827F9B" w:rsidRPr="00E810AA">
        <w:rPr>
          <w:rFonts w:ascii="Arial" w:hAnsi="Arial" w:cs="Arial"/>
        </w:rPr>
        <w:t xml:space="preserve"> communities</w:t>
      </w:r>
      <w:r w:rsidR="006A7331" w:rsidRPr="00E810AA">
        <w:rPr>
          <w:rFonts w:ascii="Arial" w:hAnsi="Arial" w:cs="Arial"/>
        </w:rPr>
        <w:t xml:space="preserve"> has been subject to extensive research by </w:t>
      </w:r>
      <w:r w:rsidR="00241953" w:rsidRPr="00E810AA">
        <w:rPr>
          <w:rFonts w:ascii="Arial" w:hAnsi="Arial" w:cs="Arial"/>
        </w:rPr>
        <w:t>academia</w:t>
      </w:r>
      <w:r w:rsidR="00827F9B" w:rsidRPr="00E810AA">
        <w:rPr>
          <w:rFonts w:ascii="Arial" w:hAnsi="Arial" w:cs="Arial"/>
        </w:rPr>
        <w:t>, Government Departments</w:t>
      </w:r>
      <w:r w:rsidR="00241953">
        <w:rPr>
          <w:rFonts w:ascii="Arial" w:hAnsi="Arial" w:cs="Arial"/>
        </w:rPr>
        <w:t xml:space="preserve"> and </w:t>
      </w:r>
      <w:r w:rsidR="009E5B1A">
        <w:rPr>
          <w:rFonts w:ascii="Arial" w:hAnsi="Arial" w:cs="Arial"/>
        </w:rPr>
        <w:t>local authorities across the C</w:t>
      </w:r>
      <w:r w:rsidR="00827F9B" w:rsidRPr="00E810AA">
        <w:rPr>
          <w:rFonts w:ascii="Arial" w:hAnsi="Arial" w:cs="Arial"/>
        </w:rPr>
        <w:t>ountry</w:t>
      </w:r>
      <w:r w:rsidR="006A7331" w:rsidRPr="00E810AA">
        <w:rPr>
          <w:rFonts w:ascii="Arial" w:hAnsi="Arial" w:cs="Arial"/>
        </w:rPr>
        <w:t>.</w:t>
      </w:r>
      <w:r w:rsidR="00905F05">
        <w:rPr>
          <w:rFonts w:ascii="Arial" w:hAnsi="Arial" w:cs="Arial"/>
        </w:rPr>
        <w:t xml:space="preserve"> </w:t>
      </w:r>
      <w:r w:rsidR="006A7331" w:rsidRPr="00E810AA">
        <w:rPr>
          <w:rFonts w:ascii="Arial" w:hAnsi="Arial" w:cs="Arial"/>
        </w:rPr>
        <w:t xml:space="preserve"> </w:t>
      </w:r>
      <w:r w:rsidR="009E5B1A">
        <w:rPr>
          <w:rFonts w:ascii="Arial" w:hAnsi="Arial" w:cs="Arial"/>
        </w:rPr>
        <w:t>A high concentration of HMOs</w:t>
      </w:r>
      <w:r w:rsidR="000B259C" w:rsidRPr="00E810AA">
        <w:rPr>
          <w:rFonts w:ascii="Arial" w:hAnsi="Arial" w:cs="Arial"/>
        </w:rPr>
        <w:t xml:space="preserve"> often reflect</w:t>
      </w:r>
      <w:r w:rsidR="008B4CE3" w:rsidRPr="00E810AA">
        <w:rPr>
          <w:rFonts w:ascii="Arial" w:hAnsi="Arial" w:cs="Arial"/>
        </w:rPr>
        <w:t>s</w:t>
      </w:r>
      <w:r w:rsidR="000B259C" w:rsidRPr="00E810AA">
        <w:rPr>
          <w:rFonts w:ascii="Arial" w:hAnsi="Arial" w:cs="Arial"/>
        </w:rPr>
        <w:t xml:space="preserve"> the particular social </w:t>
      </w:r>
      <w:r w:rsidR="00241953" w:rsidRPr="00E810AA">
        <w:rPr>
          <w:rFonts w:ascii="Arial" w:hAnsi="Arial" w:cs="Arial"/>
        </w:rPr>
        <w:t>profile,</w:t>
      </w:r>
      <w:r w:rsidR="000B259C" w:rsidRPr="00E810AA">
        <w:rPr>
          <w:rFonts w:ascii="Arial" w:hAnsi="Arial" w:cs="Arial"/>
        </w:rPr>
        <w:t xml:space="preserve"> and market demands for such type</w:t>
      </w:r>
      <w:r w:rsidR="00241953">
        <w:rPr>
          <w:rFonts w:ascii="Arial" w:hAnsi="Arial" w:cs="Arial"/>
        </w:rPr>
        <w:t>s</w:t>
      </w:r>
      <w:r w:rsidR="000B259C" w:rsidRPr="00E810AA">
        <w:rPr>
          <w:rFonts w:ascii="Arial" w:hAnsi="Arial" w:cs="Arial"/>
        </w:rPr>
        <w:t xml:space="preserve"> of accommodation.</w:t>
      </w:r>
      <w:r w:rsidR="00905F05">
        <w:rPr>
          <w:rFonts w:ascii="Arial" w:hAnsi="Arial" w:cs="Arial"/>
        </w:rPr>
        <w:t xml:space="preserve"> </w:t>
      </w:r>
      <w:r w:rsidR="000B259C" w:rsidRPr="00E810AA">
        <w:rPr>
          <w:rFonts w:ascii="Arial" w:hAnsi="Arial" w:cs="Arial"/>
        </w:rPr>
        <w:t xml:space="preserve"> </w:t>
      </w:r>
      <w:r w:rsidR="007F4F8F" w:rsidRPr="00E810AA">
        <w:rPr>
          <w:rFonts w:ascii="Arial" w:hAnsi="Arial" w:cs="Arial"/>
        </w:rPr>
        <w:t>For example, in major university towns in England, large number</w:t>
      </w:r>
      <w:r w:rsidR="00905F05">
        <w:rPr>
          <w:rFonts w:ascii="Arial" w:hAnsi="Arial" w:cs="Arial"/>
        </w:rPr>
        <w:t>s</w:t>
      </w:r>
      <w:r w:rsidR="007F4F8F" w:rsidRPr="00E810AA">
        <w:rPr>
          <w:rFonts w:ascii="Arial" w:hAnsi="Arial" w:cs="Arial"/>
        </w:rPr>
        <w:t xml:space="preserve"> of HMOs in the pri</w:t>
      </w:r>
      <w:r w:rsidR="00905F05">
        <w:rPr>
          <w:rFonts w:ascii="Arial" w:hAnsi="Arial" w:cs="Arial"/>
        </w:rPr>
        <w:t>vate rent</w:t>
      </w:r>
      <w:r w:rsidR="00241953">
        <w:rPr>
          <w:rFonts w:ascii="Arial" w:hAnsi="Arial" w:cs="Arial"/>
        </w:rPr>
        <w:t>ed</w:t>
      </w:r>
      <w:r w:rsidR="00905F05">
        <w:rPr>
          <w:rFonts w:ascii="Arial" w:hAnsi="Arial" w:cs="Arial"/>
        </w:rPr>
        <w:t xml:space="preserve"> sector are present</w:t>
      </w:r>
      <w:r w:rsidR="007F4F8F" w:rsidRPr="00E810AA">
        <w:rPr>
          <w:rFonts w:ascii="Arial" w:hAnsi="Arial" w:cs="Arial"/>
        </w:rPr>
        <w:t xml:space="preserve"> to meet the needs for </w:t>
      </w:r>
      <w:r w:rsidR="0080440C" w:rsidRPr="00E810AA">
        <w:rPr>
          <w:rFonts w:ascii="Arial" w:hAnsi="Arial" w:cs="Arial"/>
        </w:rPr>
        <w:t>student accommodat</w:t>
      </w:r>
      <w:r w:rsidR="00827F9B" w:rsidRPr="00E810AA">
        <w:rPr>
          <w:rFonts w:ascii="Arial" w:hAnsi="Arial" w:cs="Arial"/>
        </w:rPr>
        <w:t>io</w:t>
      </w:r>
      <w:r w:rsidR="00905F05">
        <w:rPr>
          <w:rFonts w:ascii="Arial" w:hAnsi="Arial" w:cs="Arial"/>
        </w:rPr>
        <w:t>n alongside</w:t>
      </w:r>
      <w:r w:rsidR="00827F9B" w:rsidRPr="00E810AA">
        <w:rPr>
          <w:rFonts w:ascii="Arial" w:hAnsi="Arial" w:cs="Arial"/>
        </w:rPr>
        <w:t xml:space="preserve"> </w:t>
      </w:r>
      <w:r w:rsidR="00241953" w:rsidRPr="00E810AA">
        <w:rPr>
          <w:rFonts w:ascii="Arial" w:hAnsi="Arial" w:cs="Arial"/>
        </w:rPr>
        <w:t>university</w:t>
      </w:r>
      <w:r w:rsidR="00827F9B" w:rsidRPr="00E810AA">
        <w:rPr>
          <w:rFonts w:ascii="Arial" w:hAnsi="Arial" w:cs="Arial"/>
        </w:rPr>
        <w:t xml:space="preserve"> dormitories</w:t>
      </w:r>
      <w:r w:rsidR="0080440C" w:rsidRPr="00E810AA">
        <w:rPr>
          <w:rFonts w:ascii="Arial" w:hAnsi="Arial" w:cs="Arial"/>
        </w:rPr>
        <w:t xml:space="preserve">. </w:t>
      </w:r>
      <w:r w:rsidR="00905F05">
        <w:rPr>
          <w:rFonts w:ascii="Arial" w:hAnsi="Arial" w:cs="Arial"/>
        </w:rPr>
        <w:t xml:space="preserve"> </w:t>
      </w:r>
      <w:r w:rsidR="0080440C" w:rsidRPr="00E810AA">
        <w:rPr>
          <w:rFonts w:ascii="Arial" w:hAnsi="Arial" w:cs="Arial"/>
        </w:rPr>
        <w:t>Of cou</w:t>
      </w:r>
      <w:r w:rsidR="00CD0BAB" w:rsidRPr="00E810AA">
        <w:rPr>
          <w:rFonts w:ascii="Arial" w:hAnsi="Arial" w:cs="Arial"/>
        </w:rPr>
        <w:t xml:space="preserve">rse, </w:t>
      </w:r>
      <w:r w:rsidR="00241953">
        <w:rPr>
          <w:rFonts w:ascii="Arial" w:hAnsi="Arial" w:cs="Arial"/>
        </w:rPr>
        <w:t xml:space="preserve">the </w:t>
      </w:r>
      <w:r w:rsidR="00CD0BAB" w:rsidRPr="00E810AA">
        <w:rPr>
          <w:rFonts w:ascii="Arial" w:hAnsi="Arial" w:cs="Arial"/>
        </w:rPr>
        <w:t>high demand and suppl</w:t>
      </w:r>
      <w:r w:rsidR="00241953">
        <w:rPr>
          <w:rFonts w:ascii="Arial" w:hAnsi="Arial" w:cs="Arial"/>
        </w:rPr>
        <w:t>y of</w:t>
      </w:r>
      <w:r w:rsidR="00CD0BAB" w:rsidRPr="00E810AA">
        <w:rPr>
          <w:rFonts w:ascii="Arial" w:hAnsi="Arial" w:cs="Arial"/>
        </w:rPr>
        <w:t xml:space="preserve"> HMOs in Hyndburn </w:t>
      </w:r>
      <w:r w:rsidR="00284709" w:rsidRPr="00E810AA">
        <w:rPr>
          <w:rFonts w:ascii="Arial" w:hAnsi="Arial" w:cs="Arial"/>
        </w:rPr>
        <w:t>is not due to the large university population</w:t>
      </w:r>
      <w:r w:rsidR="004A4F0C">
        <w:rPr>
          <w:rFonts w:ascii="Arial" w:hAnsi="Arial" w:cs="Arial"/>
        </w:rPr>
        <w:t xml:space="preserve"> and</w:t>
      </w:r>
      <w:r w:rsidR="00284709" w:rsidRPr="00E810AA">
        <w:rPr>
          <w:rFonts w:ascii="Arial" w:hAnsi="Arial" w:cs="Arial"/>
        </w:rPr>
        <w:t xml:space="preserve"> </w:t>
      </w:r>
      <w:r w:rsidR="00241953">
        <w:rPr>
          <w:rFonts w:ascii="Arial" w:hAnsi="Arial" w:cs="Arial"/>
        </w:rPr>
        <w:t xml:space="preserve">it therefore </w:t>
      </w:r>
      <w:r w:rsidR="004A4F0C">
        <w:rPr>
          <w:rFonts w:ascii="Arial" w:hAnsi="Arial" w:cs="Arial"/>
        </w:rPr>
        <w:t>must</w:t>
      </w:r>
      <w:r w:rsidR="00284709" w:rsidRPr="00E810AA">
        <w:rPr>
          <w:rFonts w:ascii="Arial" w:hAnsi="Arial" w:cs="Arial"/>
        </w:rPr>
        <w:t xml:space="preserve"> be derived from </w:t>
      </w:r>
      <w:r w:rsidR="00CD0BAB" w:rsidRPr="00E810AA">
        <w:rPr>
          <w:rFonts w:ascii="Arial" w:hAnsi="Arial" w:cs="Arial"/>
        </w:rPr>
        <w:t xml:space="preserve">other more specific social and economic issues associated with the Borough.  </w:t>
      </w:r>
    </w:p>
    <w:p w14:paraId="0BB2F37A" w14:textId="77777777" w:rsidR="00DB1781" w:rsidRPr="00E810AA" w:rsidRDefault="00DB1781" w:rsidP="00DB1781">
      <w:pPr>
        <w:pStyle w:val="ListParagraph"/>
        <w:spacing w:after="0" w:line="300" w:lineRule="atLeast"/>
        <w:ind w:left="709"/>
        <w:contextualSpacing w:val="0"/>
        <w:rPr>
          <w:rFonts w:ascii="Arial" w:hAnsi="Arial" w:cs="Arial"/>
        </w:rPr>
      </w:pPr>
    </w:p>
    <w:p w14:paraId="6B33469D" w14:textId="74FAE7E6" w:rsidR="006A7331" w:rsidRDefault="006A7331" w:rsidP="00E810AA">
      <w:pPr>
        <w:pStyle w:val="ListParagraph"/>
        <w:numPr>
          <w:ilvl w:val="1"/>
          <w:numId w:val="12"/>
        </w:numPr>
        <w:spacing w:after="0" w:line="300" w:lineRule="atLeast"/>
        <w:ind w:left="709" w:hanging="709"/>
        <w:contextualSpacing w:val="0"/>
        <w:rPr>
          <w:rFonts w:ascii="Arial" w:hAnsi="Arial" w:cs="Arial"/>
        </w:rPr>
      </w:pPr>
      <w:r w:rsidRPr="00E810AA">
        <w:rPr>
          <w:rFonts w:ascii="Arial" w:hAnsi="Arial" w:cs="Arial"/>
        </w:rPr>
        <w:t xml:space="preserve">In September 2008, </w:t>
      </w:r>
      <w:r w:rsidR="00241953">
        <w:rPr>
          <w:rFonts w:ascii="Arial" w:hAnsi="Arial" w:cs="Arial"/>
        </w:rPr>
        <w:t xml:space="preserve">the </w:t>
      </w:r>
      <w:r w:rsidRPr="00E810AA">
        <w:rPr>
          <w:rFonts w:ascii="Arial" w:hAnsi="Arial" w:cs="Arial"/>
        </w:rPr>
        <w:t>Department of Community and Local Government published ‘</w:t>
      </w:r>
      <w:r w:rsidRPr="00905F05">
        <w:rPr>
          <w:rFonts w:ascii="Arial" w:hAnsi="Arial" w:cs="Arial"/>
          <w:i/>
        </w:rPr>
        <w:t xml:space="preserve">Evidence Gathering –Housing in Multiple Occupation and Possible Planning </w:t>
      </w:r>
      <w:r w:rsidR="005F74A9">
        <w:rPr>
          <w:rFonts w:ascii="Arial" w:hAnsi="Arial" w:cs="Arial"/>
          <w:i/>
        </w:rPr>
        <w:t>r</w:t>
      </w:r>
      <w:r w:rsidRPr="00905F05">
        <w:rPr>
          <w:rFonts w:ascii="Arial" w:hAnsi="Arial" w:cs="Arial"/>
          <w:i/>
        </w:rPr>
        <w:t>esponses – Final Report</w:t>
      </w:r>
      <w:r w:rsidRPr="00E810AA">
        <w:rPr>
          <w:rFonts w:ascii="Arial" w:hAnsi="Arial" w:cs="Arial"/>
        </w:rPr>
        <w:t>’</w:t>
      </w:r>
      <w:r w:rsidR="0041654A" w:rsidRPr="00E810AA">
        <w:rPr>
          <w:rStyle w:val="FootnoteReference"/>
          <w:rFonts w:ascii="Arial" w:hAnsi="Arial" w:cs="Arial"/>
        </w:rPr>
        <w:footnoteReference w:id="4"/>
      </w:r>
      <w:r w:rsidR="004A4F0C">
        <w:rPr>
          <w:rFonts w:ascii="Arial" w:hAnsi="Arial" w:cs="Arial"/>
        </w:rPr>
        <w:t xml:space="preserve"> </w:t>
      </w:r>
      <w:r w:rsidR="00905F05">
        <w:rPr>
          <w:rFonts w:ascii="Arial" w:hAnsi="Arial" w:cs="Arial"/>
        </w:rPr>
        <w:t>with the intention of identifying</w:t>
      </w:r>
      <w:r w:rsidRPr="00E810AA">
        <w:rPr>
          <w:rFonts w:ascii="Arial" w:hAnsi="Arial" w:cs="Arial"/>
        </w:rPr>
        <w:t xml:space="preserve"> good practice in areas that manage to cope well with high concentrations of </w:t>
      </w:r>
      <w:r w:rsidR="005F74A9" w:rsidRPr="00E810AA">
        <w:rPr>
          <w:rFonts w:ascii="Arial" w:hAnsi="Arial" w:cs="Arial"/>
        </w:rPr>
        <w:t>HMOs and</w:t>
      </w:r>
      <w:r w:rsidRPr="00E810AA">
        <w:rPr>
          <w:rFonts w:ascii="Arial" w:hAnsi="Arial" w:cs="Arial"/>
        </w:rPr>
        <w:t xml:space="preserve"> determine whether planning policy is a suitable lever to tackle the soci</w:t>
      </w:r>
      <w:r w:rsidR="004A4F0C">
        <w:rPr>
          <w:rFonts w:ascii="Arial" w:hAnsi="Arial" w:cs="Arial"/>
        </w:rPr>
        <w:t>o-</w:t>
      </w:r>
      <w:r w:rsidRPr="00E810AA">
        <w:rPr>
          <w:rFonts w:ascii="Arial" w:hAnsi="Arial" w:cs="Arial"/>
        </w:rPr>
        <w:t>economic issues arising from</w:t>
      </w:r>
      <w:r w:rsidR="00241953">
        <w:rPr>
          <w:rFonts w:ascii="Arial" w:hAnsi="Arial" w:cs="Arial"/>
        </w:rPr>
        <w:t xml:space="preserve"> this</w:t>
      </w:r>
      <w:r w:rsidRPr="00E810AA">
        <w:rPr>
          <w:rFonts w:ascii="Arial" w:hAnsi="Arial" w:cs="Arial"/>
        </w:rPr>
        <w:t xml:space="preserve">. </w:t>
      </w:r>
      <w:r w:rsidR="00905F05">
        <w:rPr>
          <w:rFonts w:ascii="Arial" w:hAnsi="Arial" w:cs="Arial"/>
        </w:rPr>
        <w:t xml:space="preserve"> </w:t>
      </w:r>
      <w:r w:rsidRPr="00E810AA">
        <w:rPr>
          <w:rFonts w:ascii="Arial" w:hAnsi="Arial" w:cs="Arial"/>
        </w:rPr>
        <w:t>In t</w:t>
      </w:r>
      <w:r w:rsidR="00B558D1">
        <w:rPr>
          <w:rFonts w:ascii="Arial" w:hAnsi="Arial" w:cs="Arial"/>
        </w:rPr>
        <w:t xml:space="preserve">his report, it </w:t>
      </w:r>
      <w:r w:rsidR="004A4F0C">
        <w:rPr>
          <w:rFonts w:ascii="Arial" w:hAnsi="Arial" w:cs="Arial"/>
        </w:rPr>
        <w:t>was</w:t>
      </w:r>
      <w:r w:rsidR="00B558D1">
        <w:rPr>
          <w:rFonts w:ascii="Arial" w:hAnsi="Arial" w:cs="Arial"/>
        </w:rPr>
        <w:t xml:space="preserve"> </w:t>
      </w:r>
      <w:r w:rsidR="00905F05">
        <w:rPr>
          <w:rFonts w:ascii="Arial" w:hAnsi="Arial" w:cs="Arial"/>
        </w:rPr>
        <w:t>considered</w:t>
      </w:r>
      <w:r w:rsidR="006F299F">
        <w:rPr>
          <w:rFonts w:ascii="Arial" w:hAnsi="Arial" w:cs="Arial"/>
        </w:rPr>
        <w:t xml:space="preserve"> that high</w:t>
      </w:r>
      <w:r w:rsidR="0041654A" w:rsidRPr="00E810AA">
        <w:rPr>
          <w:rFonts w:ascii="Arial" w:hAnsi="Arial" w:cs="Arial"/>
        </w:rPr>
        <w:t xml:space="preserve"> c</w:t>
      </w:r>
      <w:r w:rsidR="006F299F">
        <w:rPr>
          <w:rFonts w:ascii="Arial" w:hAnsi="Arial" w:cs="Arial"/>
        </w:rPr>
        <w:t>oncentration</w:t>
      </w:r>
      <w:r w:rsidR="00241953">
        <w:rPr>
          <w:rFonts w:ascii="Arial" w:hAnsi="Arial" w:cs="Arial"/>
        </w:rPr>
        <w:t>s</w:t>
      </w:r>
      <w:r w:rsidR="006F299F">
        <w:rPr>
          <w:rFonts w:ascii="Arial" w:hAnsi="Arial" w:cs="Arial"/>
        </w:rPr>
        <w:t xml:space="preserve"> of HMOs combined with particular</w:t>
      </w:r>
      <w:r w:rsidR="0041654A" w:rsidRPr="00E810AA">
        <w:rPr>
          <w:rFonts w:ascii="Arial" w:hAnsi="Arial" w:cs="Arial"/>
        </w:rPr>
        <w:t xml:space="preserve"> social group</w:t>
      </w:r>
      <w:r w:rsidR="006F299F">
        <w:rPr>
          <w:rFonts w:ascii="Arial" w:hAnsi="Arial" w:cs="Arial"/>
        </w:rPr>
        <w:t>s</w:t>
      </w:r>
      <w:r w:rsidR="0041654A" w:rsidRPr="00E810AA">
        <w:rPr>
          <w:rFonts w:ascii="Arial" w:hAnsi="Arial" w:cs="Arial"/>
        </w:rPr>
        <w:t xml:space="preserve"> can result in unintended conse</w:t>
      </w:r>
      <w:r w:rsidR="00905F05">
        <w:rPr>
          <w:rFonts w:ascii="Arial" w:hAnsi="Arial" w:cs="Arial"/>
        </w:rPr>
        <w:t>quences that can create tension within t</w:t>
      </w:r>
      <w:r w:rsidR="0041654A" w:rsidRPr="00E810AA">
        <w:rPr>
          <w:rFonts w:ascii="Arial" w:hAnsi="Arial" w:cs="Arial"/>
        </w:rPr>
        <w:t xml:space="preserve">he local </w:t>
      </w:r>
      <w:r w:rsidR="00905F05">
        <w:rPr>
          <w:rFonts w:ascii="Arial" w:hAnsi="Arial" w:cs="Arial"/>
        </w:rPr>
        <w:t>resident community and can also have</w:t>
      </w:r>
      <w:r w:rsidR="0041654A" w:rsidRPr="00E810AA">
        <w:rPr>
          <w:rFonts w:ascii="Arial" w:hAnsi="Arial" w:cs="Arial"/>
        </w:rPr>
        <w:t xml:space="preserve"> both positive and negative effects upon a local housing market area, including social, economic, as well as environmental and phys</w:t>
      </w:r>
      <w:r w:rsidR="00905F05">
        <w:rPr>
          <w:rFonts w:ascii="Arial" w:hAnsi="Arial" w:cs="Arial"/>
        </w:rPr>
        <w:t>i</w:t>
      </w:r>
      <w:r w:rsidR="0041654A" w:rsidRPr="00E810AA">
        <w:rPr>
          <w:rFonts w:ascii="Arial" w:hAnsi="Arial" w:cs="Arial"/>
        </w:rPr>
        <w:t xml:space="preserve">cal impacts. </w:t>
      </w:r>
    </w:p>
    <w:p w14:paraId="2928F730" w14:textId="77777777" w:rsidR="00DB1781" w:rsidRPr="00E810AA" w:rsidRDefault="00DB1781" w:rsidP="00DB1781">
      <w:pPr>
        <w:pStyle w:val="ListParagraph"/>
        <w:spacing w:after="0" w:line="300" w:lineRule="atLeast"/>
        <w:ind w:left="709"/>
        <w:contextualSpacing w:val="0"/>
        <w:rPr>
          <w:rFonts w:ascii="Arial" w:hAnsi="Arial" w:cs="Arial"/>
        </w:rPr>
      </w:pPr>
    </w:p>
    <w:p w14:paraId="239FB38C" w14:textId="28FC9D04" w:rsidR="0041654A" w:rsidRDefault="0041654A" w:rsidP="00E810AA">
      <w:pPr>
        <w:pStyle w:val="ListParagraph"/>
        <w:numPr>
          <w:ilvl w:val="1"/>
          <w:numId w:val="12"/>
        </w:numPr>
        <w:spacing w:after="0" w:line="300" w:lineRule="atLeast"/>
        <w:ind w:left="709" w:hanging="709"/>
        <w:contextualSpacing w:val="0"/>
        <w:rPr>
          <w:rFonts w:ascii="Arial" w:hAnsi="Arial" w:cs="Arial"/>
        </w:rPr>
      </w:pPr>
      <w:r w:rsidRPr="00E810AA">
        <w:rPr>
          <w:rFonts w:ascii="Arial" w:hAnsi="Arial" w:cs="Arial"/>
        </w:rPr>
        <w:t>It is worth highlighting that what are now recognised as HMO</w:t>
      </w:r>
      <w:r w:rsidR="00241953">
        <w:rPr>
          <w:rFonts w:ascii="Arial" w:hAnsi="Arial" w:cs="Arial"/>
        </w:rPr>
        <w:t>s</w:t>
      </w:r>
      <w:r w:rsidRPr="00E810AA">
        <w:rPr>
          <w:rFonts w:ascii="Arial" w:hAnsi="Arial" w:cs="Arial"/>
        </w:rPr>
        <w:t xml:space="preserve"> have also existed, although not distinguished as a housing type</w:t>
      </w:r>
      <w:r w:rsidR="006F299F">
        <w:rPr>
          <w:rFonts w:ascii="Arial" w:hAnsi="Arial" w:cs="Arial"/>
        </w:rPr>
        <w:t>,</w:t>
      </w:r>
      <w:r w:rsidRPr="00E810AA">
        <w:rPr>
          <w:rFonts w:ascii="Arial" w:hAnsi="Arial" w:cs="Arial"/>
        </w:rPr>
        <w:t xml:space="preserve"> </w:t>
      </w:r>
      <w:r w:rsidR="00241953">
        <w:rPr>
          <w:rFonts w:ascii="Arial" w:hAnsi="Arial" w:cs="Arial"/>
        </w:rPr>
        <w:t>since</w:t>
      </w:r>
      <w:r w:rsidRPr="00E810AA">
        <w:rPr>
          <w:rFonts w:ascii="Arial" w:hAnsi="Arial" w:cs="Arial"/>
        </w:rPr>
        <w:t xml:space="preserve"> the Housing Act 1985. </w:t>
      </w:r>
      <w:r w:rsidR="006F299F">
        <w:rPr>
          <w:rFonts w:ascii="Arial" w:hAnsi="Arial" w:cs="Arial"/>
        </w:rPr>
        <w:t xml:space="preserve"> </w:t>
      </w:r>
      <w:r w:rsidRPr="00E810AA">
        <w:rPr>
          <w:rFonts w:ascii="Arial" w:hAnsi="Arial" w:cs="Arial"/>
        </w:rPr>
        <w:t>They were formally defined in the Housing Act 2004, when the concept of ‘household’ was clarified (as essentially a family)</w:t>
      </w:r>
      <w:r w:rsidR="004A4F0C">
        <w:rPr>
          <w:rFonts w:ascii="Arial" w:hAnsi="Arial" w:cs="Arial"/>
        </w:rPr>
        <w:t>. A</w:t>
      </w:r>
      <w:r w:rsidRPr="00E810AA">
        <w:rPr>
          <w:rFonts w:ascii="Arial" w:hAnsi="Arial" w:cs="Arial"/>
        </w:rPr>
        <w:t xml:space="preserve">s a HMO </w:t>
      </w:r>
      <w:r w:rsidR="00241953">
        <w:rPr>
          <w:rFonts w:ascii="Arial" w:hAnsi="Arial" w:cs="Arial"/>
        </w:rPr>
        <w:t>they are</w:t>
      </w:r>
      <w:r w:rsidRPr="00E810AA">
        <w:rPr>
          <w:rFonts w:ascii="Arial" w:hAnsi="Arial" w:cs="Arial"/>
        </w:rPr>
        <w:t xml:space="preserve"> identified as a dwelling shared by three or more households.</w:t>
      </w:r>
      <w:r w:rsidR="006F299F">
        <w:rPr>
          <w:rFonts w:ascii="Arial" w:hAnsi="Arial" w:cs="Arial"/>
        </w:rPr>
        <w:t xml:space="preserve"> </w:t>
      </w:r>
      <w:r w:rsidRPr="00E810AA">
        <w:rPr>
          <w:rFonts w:ascii="Arial" w:hAnsi="Arial" w:cs="Arial"/>
        </w:rPr>
        <w:t xml:space="preserve">Defined as such, a HMO exhibits a number of distinctive characteristics. </w:t>
      </w:r>
    </w:p>
    <w:p w14:paraId="58F74964" w14:textId="77777777" w:rsidR="00241953" w:rsidRPr="00241953" w:rsidRDefault="00241953" w:rsidP="00241953">
      <w:pPr>
        <w:pStyle w:val="ListParagraph"/>
        <w:rPr>
          <w:rFonts w:ascii="Arial" w:hAnsi="Arial" w:cs="Arial"/>
        </w:rPr>
      </w:pPr>
    </w:p>
    <w:p w14:paraId="40B7C3CC" w14:textId="368902C9" w:rsidR="0041654A" w:rsidRPr="00DB1781" w:rsidRDefault="004A4F0C" w:rsidP="00DB1781">
      <w:pPr>
        <w:pStyle w:val="ListParagraph"/>
        <w:numPr>
          <w:ilvl w:val="0"/>
          <w:numId w:val="30"/>
        </w:numPr>
        <w:spacing w:after="0" w:line="300" w:lineRule="atLeast"/>
        <w:rPr>
          <w:rFonts w:ascii="Arial" w:hAnsi="Arial" w:cs="Arial"/>
        </w:rPr>
      </w:pPr>
      <w:r w:rsidRPr="004A4F0C">
        <w:rPr>
          <w:rFonts w:ascii="Arial" w:hAnsi="Arial" w:cs="Arial"/>
          <w:b/>
          <w:bCs/>
        </w:rPr>
        <w:t>Occupancy intensity</w:t>
      </w:r>
      <w:r>
        <w:rPr>
          <w:rFonts w:ascii="Arial" w:hAnsi="Arial" w:cs="Arial"/>
          <w:b/>
          <w:bCs/>
        </w:rPr>
        <w:t xml:space="preserve">: </w:t>
      </w:r>
      <w:r w:rsidR="0041654A" w:rsidRPr="00DB1781">
        <w:rPr>
          <w:rFonts w:ascii="Arial" w:hAnsi="Arial" w:cs="Arial"/>
        </w:rPr>
        <w:t xml:space="preserve">the occupation of </w:t>
      </w:r>
      <w:r w:rsidR="00241953">
        <w:rPr>
          <w:rFonts w:ascii="Arial" w:hAnsi="Arial" w:cs="Arial"/>
        </w:rPr>
        <w:t xml:space="preserve">a </w:t>
      </w:r>
      <w:r w:rsidR="0041654A" w:rsidRPr="00DB1781">
        <w:rPr>
          <w:rFonts w:ascii="Arial" w:hAnsi="Arial" w:cs="Arial"/>
        </w:rPr>
        <w:t>HMO is intensive, higher than an ordinary dwellinghouse.</w:t>
      </w:r>
    </w:p>
    <w:p w14:paraId="64DF3CF4" w14:textId="27F776CF" w:rsidR="0041654A" w:rsidRPr="00DB1781" w:rsidRDefault="004A4F0C" w:rsidP="00DB1781">
      <w:pPr>
        <w:pStyle w:val="ListParagraph"/>
        <w:numPr>
          <w:ilvl w:val="0"/>
          <w:numId w:val="30"/>
        </w:numPr>
        <w:spacing w:after="0" w:line="300" w:lineRule="atLeast"/>
        <w:rPr>
          <w:rFonts w:ascii="Arial" w:hAnsi="Arial" w:cs="Arial"/>
        </w:rPr>
      </w:pPr>
      <w:r w:rsidRPr="004A4F0C">
        <w:rPr>
          <w:rFonts w:ascii="Arial" w:hAnsi="Arial" w:cs="Arial"/>
          <w:b/>
          <w:bCs/>
        </w:rPr>
        <w:t>Occupant profile</w:t>
      </w:r>
      <w:r w:rsidR="0041654A" w:rsidRPr="00DB1781">
        <w:rPr>
          <w:rFonts w:ascii="Arial" w:hAnsi="Arial" w:cs="Arial"/>
        </w:rPr>
        <w:t xml:space="preserve">: </w:t>
      </w:r>
      <w:r w:rsidR="00241953">
        <w:rPr>
          <w:rFonts w:ascii="Arial" w:hAnsi="Arial" w:cs="Arial"/>
        </w:rPr>
        <w:t xml:space="preserve">is </w:t>
      </w:r>
      <w:r w:rsidR="0041654A" w:rsidRPr="00DB1781">
        <w:rPr>
          <w:rFonts w:ascii="Arial" w:hAnsi="Arial" w:cs="Arial"/>
        </w:rPr>
        <w:t xml:space="preserve">typically, consequent upon their markets, the occupants of a HMO are mostly from narrow age ranges (young adults), unlikely the wider mix in most other residential uses, and as such, they are novice householders. </w:t>
      </w:r>
    </w:p>
    <w:p w14:paraId="6332404B" w14:textId="312B385C" w:rsidR="0041654A" w:rsidRPr="00DB1781" w:rsidRDefault="004A4F0C" w:rsidP="00DB1781">
      <w:pPr>
        <w:pStyle w:val="ListParagraph"/>
        <w:numPr>
          <w:ilvl w:val="0"/>
          <w:numId w:val="30"/>
        </w:numPr>
        <w:spacing w:after="0" w:line="300" w:lineRule="atLeast"/>
        <w:rPr>
          <w:rFonts w:ascii="Arial" w:hAnsi="Arial" w:cs="Arial"/>
        </w:rPr>
      </w:pPr>
      <w:r w:rsidRPr="004A4F0C">
        <w:rPr>
          <w:rFonts w:ascii="Arial" w:hAnsi="Arial" w:cs="Arial"/>
          <w:b/>
          <w:bCs/>
        </w:rPr>
        <w:t>Household structure</w:t>
      </w:r>
      <w:r w:rsidR="0041654A" w:rsidRPr="00DB1781">
        <w:rPr>
          <w:rFonts w:ascii="Arial" w:hAnsi="Arial" w:cs="Arial"/>
        </w:rPr>
        <w:t xml:space="preserve">: by the very fact of multiple occupation, HMOs lack the internal structure of a household (or the management of </w:t>
      </w:r>
      <w:r w:rsidR="004F4C60">
        <w:rPr>
          <w:rFonts w:ascii="Arial" w:hAnsi="Arial" w:cs="Arial"/>
        </w:rPr>
        <w:t xml:space="preserve">a </w:t>
      </w:r>
      <w:r w:rsidR="0041654A" w:rsidRPr="00DB1781">
        <w:rPr>
          <w:rFonts w:ascii="Arial" w:hAnsi="Arial" w:cs="Arial"/>
        </w:rPr>
        <w:t xml:space="preserve">residential institution). </w:t>
      </w:r>
    </w:p>
    <w:p w14:paraId="19D96D6B" w14:textId="3D77F9E9" w:rsidR="0041654A" w:rsidRDefault="004A4F0C" w:rsidP="00DB1781">
      <w:pPr>
        <w:pStyle w:val="ListParagraph"/>
        <w:numPr>
          <w:ilvl w:val="0"/>
          <w:numId w:val="30"/>
        </w:numPr>
        <w:spacing w:after="0" w:line="300" w:lineRule="atLeast"/>
        <w:rPr>
          <w:rFonts w:ascii="Arial" w:hAnsi="Arial" w:cs="Arial"/>
        </w:rPr>
      </w:pPr>
      <w:r w:rsidRPr="004A4F0C">
        <w:rPr>
          <w:rFonts w:ascii="Arial" w:hAnsi="Arial" w:cs="Arial"/>
          <w:b/>
          <w:bCs/>
        </w:rPr>
        <w:t>Tenure patterns</w:t>
      </w:r>
      <w:r w:rsidR="0041654A" w:rsidRPr="00DB1781">
        <w:rPr>
          <w:rFonts w:ascii="Arial" w:hAnsi="Arial" w:cs="Arial"/>
        </w:rPr>
        <w:t xml:space="preserve">: typically, tenancies in HMOs are short-term, due to the market they serve. </w:t>
      </w:r>
      <w:r w:rsidR="00C5749D">
        <w:rPr>
          <w:rFonts w:ascii="Arial" w:hAnsi="Arial" w:cs="Arial"/>
        </w:rPr>
        <w:t xml:space="preserve"> </w:t>
      </w:r>
    </w:p>
    <w:p w14:paraId="45475220" w14:textId="77777777" w:rsidR="00DB1781" w:rsidRPr="00C5749D" w:rsidRDefault="00DB1781" w:rsidP="00C5749D">
      <w:pPr>
        <w:spacing w:after="0" w:line="300" w:lineRule="atLeast"/>
        <w:rPr>
          <w:rFonts w:ascii="Arial" w:hAnsi="Arial" w:cs="Arial"/>
        </w:rPr>
      </w:pPr>
    </w:p>
    <w:p w14:paraId="5C266E90" w14:textId="6B07E604" w:rsidR="00DB1781" w:rsidRPr="00DB1781" w:rsidRDefault="00705DD0" w:rsidP="00DB1781">
      <w:pPr>
        <w:pStyle w:val="ListParagraph"/>
        <w:numPr>
          <w:ilvl w:val="1"/>
          <w:numId w:val="12"/>
        </w:numPr>
        <w:spacing w:after="0" w:line="300" w:lineRule="atLeast"/>
        <w:ind w:left="709" w:hanging="709"/>
        <w:rPr>
          <w:rFonts w:ascii="Arial" w:hAnsi="Arial" w:cs="Arial"/>
        </w:rPr>
      </w:pPr>
      <w:r w:rsidRPr="00E810AA">
        <w:rPr>
          <w:rFonts w:ascii="Arial" w:hAnsi="Arial" w:cs="Arial"/>
        </w:rPr>
        <w:t>As illustrated in Table 6.1, based on the data from the Hyndburn Council Tax</w:t>
      </w:r>
      <w:r w:rsidR="004F4C60">
        <w:rPr>
          <w:rFonts w:ascii="Arial" w:hAnsi="Arial" w:cs="Arial"/>
        </w:rPr>
        <w:t xml:space="preserve"> records</w:t>
      </w:r>
      <w:r w:rsidRPr="00E810AA">
        <w:rPr>
          <w:rFonts w:ascii="Arial" w:hAnsi="Arial" w:cs="Arial"/>
        </w:rPr>
        <w:t xml:space="preserve">, Housing Standards </w:t>
      </w:r>
      <w:r w:rsidR="004F4C60">
        <w:rPr>
          <w:rFonts w:ascii="Arial" w:hAnsi="Arial" w:cs="Arial"/>
        </w:rPr>
        <w:t>records</w:t>
      </w:r>
      <w:r w:rsidRPr="00E810AA">
        <w:rPr>
          <w:rFonts w:ascii="Arial" w:hAnsi="Arial" w:cs="Arial"/>
        </w:rPr>
        <w:t>, and the data from the Department for Work and Pensions (DWP), Hyndburn current records a</w:t>
      </w:r>
      <w:r w:rsidR="004F4C60">
        <w:rPr>
          <w:rFonts w:ascii="Arial" w:hAnsi="Arial" w:cs="Arial"/>
        </w:rPr>
        <w:t>n approximate</w:t>
      </w:r>
      <w:r w:rsidRPr="00E810AA">
        <w:rPr>
          <w:rFonts w:ascii="Arial" w:hAnsi="Arial" w:cs="Arial"/>
        </w:rPr>
        <w:t xml:space="preserve"> total of </w:t>
      </w:r>
      <w:r w:rsidRPr="005F74A9">
        <w:rPr>
          <w:rFonts w:ascii="Arial" w:hAnsi="Arial" w:cs="Arial"/>
        </w:rPr>
        <w:t>50</w:t>
      </w:r>
      <w:r w:rsidR="005F74A9" w:rsidRPr="005F74A9">
        <w:rPr>
          <w:rFonts w:ascii="Arial" w:hAnsi="Arial" w:cs="Arial"/>
        </w:rPr>
        <w:t>2</w:t>
      </w:r>
      <w:r w:rsidRPr="005F74A9">
        <w:rPr>
          <w:rFonts w:ascii="Arial" w:hAnsi="Arial" w:cs="Arial"/>
        </w:rPr>
        <w:t xml:space="preserve"> HMOs</w:t>
      </w:r>
      <w:r w:rsidR="005F74A9">
        <w:rPr>
          <w:rFonts w:ascii="Arial" w:hAnsi="Arial" w:cs="Arial"/>
        </w:rPr>
        <w:t xml:space="preserve"> within the Borough. </w:t>
      </w:r>
      <w:r w:rsidRPr="00E810AA">
        <w:rPr>
          <w:rFonts w:ascii="Arial" w:hAnsi="Arial" w:cs="Arial"/>
        </w:rPr>
        <w:t xml:space="preserve"> </w:t>
      </w:r>
      <w:r w:rsidR="0041654A" w:rsidRPr="00E810AA">
        <w:rPr>
          <w:rFonts w:ascii="Arial" w:hAnsi="Arial" w:cs="Arial"/>
        </w:rPr>
        <w:t>Compared with neighbouring authorities in Lancashire</w:t>
      </w:r>
      <w:r w:rsidR="004A4F0C">
        <w:rPr>
          <w:rFonts w:ascii="Arial" w:hAnsi="Arial" w:cs="Arial"/>
        </w:rPr>
        <w:t>,</w:t>
      </w:r>
      <w:r w:rsidR="0041654A" w:rsidRPr="00E810AA">
        <w:rPr>
          <w:rFonts w:ascii="Arial" w:hAnsi="Arial" w:cs="Arial"/>
        </w:rPr>
        <w:t xml:space="preserve"> Hyndburn has a </w:t>
      </w:r>
      <w:r w:rsidR="00F53780" w:rsidRPr="00E810AA">
        <w:rPr>
          <w:rFonts w:ascii="Arial" w:hAnsi="Arial" w:cs="Arial"/>
        </w:rPr>
        <w:lastRenderedPageBreak/>
        <w:t>notably</w:t>
      </w:r>
      <w:r w:rsidR="0041654A" w:rsidRPr="00E810AA">
        <w:rPr>
          <w:rFonts w:ascii="Arial" w:hAnsi="Arial" w:cs="Arial"/>
        </w:rPr>
        <w:t xml:space="preserve"> high</w:t>
      </w:r>
      <w:r w:rsidR="00F53780" w:rsidRPr="00E810AA">
        <w:rPr>
          <w:rFonts w:ascii="Arial" w:hAnsi="Arial" w:cs="Arial"/>
        </w:rPr>
        <w:t xml:space="preserve"> ratio between HMOs and total number of re</w:t>
      </w:r>
      <w:r w:rsidR="006F299F">
        <w:rPr>
          <w:rFonts w:ascii="Arial" w:hAnsi="Arial" w:cs="Arial"/>
        </w:rPr>
        <w:t>sidential dwellings</w:t>
      </w:r>
      <w:r w:rsidR="0041654A" w:rsidRPr="00E810AA">
        <w:rPr>
          <w:rFonts w:ascii="Arial" w:hAnsi="Arial" w:cs="Arial"/>
        </w:rPr>
        <w:t xml:space="preserve">, particularly </w:t>
      </w:r>
      <w:r w:rsidR="006F299F">
        <w:rPr>
          <w:rFonts w:ascii="Arial" w:hAnsi="Arial" w:cs="Arial"/>
        </w:rPr>
        <w:t>given the very small number of student HMO’s</w:t>
      </w:r>
      <w:r w:rsidR="009E3074" w:rsidRPr="00E810AA">
        <w:rPr>
          <w:rFonts w:ascii="Arial" w:hAnsi="Arial" w:cs="Arial"/>
        </w:rPr>
        <w:t xml:space="preserve"> </w:t>
      </w:r>
      <w:r w:rsidR="0041654A" w:rsidRPr="00E810AA">
        <w:rPr>
          <w:rFonts w:ascii="Arial" w:hAnsi="Arial" w:cs="Arial"/>
        </w:rPr>
        <w:t xml:space="preserve">within the Borough.  </w:t>
      </w:r>
    </w:p>
    <w:p w14:paraId="0BD88514" w14:textId="77777777" w:rsidR="004A4F0C" w:rsidRDefault="004A4F0C" w:rsidP="004A4F0C">
      <w:pPr>
        <w:pStyle w:val="Caption"/>
      </w:pPr>
    </w:p>
    <w:p w14:paraId="5DBF848F" w14:textId="1BC15305" w:rsidR="004A4F0C" w:rsidRDefault="004A4F0C" w:rsidP="00851D05">
      <w:pPr>
        <w:pStyle w:val="Caption"/>
        <w:spacing w:after="0"/>
        <w:ind w:left="709"/>
        <w:rPr>
          <w:rFonts w:ascii="Arial" w:hAnsi="Arial" w:cs="Arial"/>
          <w:b/>
          <w:bCs/>
          <w:i w:val="0"/>
          <w:iCs w:val="0"/>
          <w:color w:val="auto"/>
          <w:sz w:val="22"/>
          <w:szCs w:val="22"/>
        </w:rPr>
      </w:pPr>
      <w:r w:rsidRPr="004A4F0C">
        <w:rPr>
          <w:rFonts w:ascii="Arial" w:hAnsi="Arial" w:cs="Arial"/>
          <w:b/>
          <w:bCs/>
          <w:i w:val="0"/>
          <w:iCs w:val="0"/>
          <w:color w:val="auto"/>
          <w:sz w:val="22"/>
          <w:szCs w:val="22"/>
        </w:rPr>
        <w:t xml:space="preserve">Table </w:t>
      </w:r>
      <w:r w:rsidRPr="004A4F0C">
        <w:rPr>
          <w:rFonts w:ascii="Arial" w:hAnsi="Arial" w:cs="Arial"/>
          <w:b/>
          <w:bCs/>
          <w:i w:val="0"/>
          <w:iCs w:val="0"/>
          <w:color w:val="auto"/>
          <w:sz w:val="22"/>
          <w:szCs w:val="22"/>
        </w:rPr>
        <w:fldChar w:fldCharType="begin"/>
      </w:r>
      <w:r w:rsidRPr="004A4F0C">
        <w:rPr>
          <w:rFonts w:ascii="Arial" w:hAnsi="Arial" w:cs="Arial"/>
          <w:b/>
          <w:bCs/>
          <w:i w:val="0"/>
          <w:iCs w:val="0"/>
          <w:color w:val="auto"/>
          <w:sz w:val="22"/>
          <w:szCs w:val="22"/>
        </w:rPr>
        <w:instrText xml:space="preserve"> SEQ Table \* ARABIC </w:instrText>
      </w:r>
      <w:r w:rsidRPr="004A4F0C">
        <w:rPr>
          <w:rFonts w:ascii="Arial" w:hAnsi="Arial" w:cs="Arial"/>
          <w:b/>
          <w:bCs/>
          <w:i w:val="0"/>
          <w:iCs w:val="0"/>
          <w:color w:val="auto"/>
          <w:sz w:val="22"/>
          <w:szCs w:val="22"/>
        </w:rPr>
        <w:fldChar w:fldCharType="separate"/>
      </w:r>
      <w:r w:rsidRPr="004A4F0C">
        <w:rPr>
          <w:rFonts w:ascii="Arial" w:hAnsi="Arial" w:cs="Arial"/>
          <w:b/>
          <w:bCs/>
          <w:i w:val="0"/>
          <w:iCs w:val="0"/>
          <w:noProof/>
          <w:color w:val="auto"/>
          <w:sz w:val="22"/>
          <w:szCs w:val="22"/>
        </w:rPr>
        <w:t>2</w:t>
      </w:r>
      <w:r w:rsidRPr="004A4F0C">
        <w:rPr>
          <w:rFonts w:ascii="Arial" w:hAnsi="Arial" w:cs="Arial"/>
          <w:b/>
          <w:bCs/>
          <w:i w:val="0"/>
          <w:iCs w:val="0"/>
          <w:noProof/>
          <w:color w:val="auto"/>
          <w:sz w:val="22"/>
          <w:szCs w:val="22"/>
        </w:rPr>
        <w:fldChar w:fldCharType="end"/>
      </w:r>
      <w:r w:rsidRPr="004A4F0C">
        <w:rPr>
          <w:rFonts w:ascii="Arial" w:hAnsi="Arial" w:cs="Arial"/>
          <w:b/>
          <w:bCs/>
          <w:i w:val="0"/>
          <w:iCs w:val="0"/>
          <w:color w:val="auto"/>
          <w:sz w:val="22"/>
          <w:szCs w:val="22"/>
        </w:rPr>
        <w:t xml:space="preserve"> - Comparative HMO numbers and population between Neighbouring</w:t>
      </w:r>
      <w:r>
        <w:rPr>
          <w:rFonts w:ascii="Arial" w:hAnsi="Arial" w:cs="Arial"/>
          <w:b/>
          <w:bCs/>
          <w:i w:val="0"/>
          <w:iCs w:val="0"/>
          <w:color w:val="auto"/>
          <w:sz w:val="22"/>
          <w:szCs w:val="22"/>
        </w:rPr>
        <w:t xml:space="preserve"> </w:t>
      </w:r>
      <w:r w:rsidRPr="004A4F0C">
        <w:rPr>
          <w:rFonts w:ascii="Arial" w:hAnsi="Arial" w:cs="Arial"/>
          <w:b/>
          <w:bCs/>
          <w:i w:val="0"/>
          <w:iCs w:val="0"/>
          <w:color w:val="auto"/>
          <w:sz w:val="22"/>
          <w:szCs w:val="22"/>
        </w:rPr>
        <w:t>LAs</w:t>
      </w:r>
    </w:p>
    <w:tbl>
      <w:tblPr>
        <w:tblStyle w:val="TableGrid"/>
        <w:tblpPr w:leftFromText="180" w:rightFromText="180" w:vertAnchor="text" w:horzAnchor="margin" w:tblpXSpec="center" w:tblpY="360"/>
        <w:tblW w:w="0" w:type="auto"/>
        <w:tblLook w:val="04A0" w:firstRow="1" w:lastRow="0" w:firstColumn="1" w:lastColumn="0" w:noHBand="0" w:noVBand="1"/>
      </w:tblPr>
      <w:tblGrid>
        <w:gridCol w:w="1413"/>
        <w:gridCol w:w="1305"/>
        <w:gridCol w:w="1452"/>
        <w:gridCol w:w="1276"/>
        <w:gridCol w:w="1249"/>
        <w:gridCol w:w="950"/>
      </w:tblGrid>
      <w:tr w:rsidR="004A4F0C" w:rsidRPr="00E810AA" w14:paraId="4DC40531" w14:textId="77777777" w:rsidTr="00E10DE4">
        <w:tc>
          <w:tcPr>
            <w:tcW w:w="1413" w:type="dxa"/>
            <w:shd w:val="clear" w:color="auto" w:fill="7030A0"/>
          </w:tcPr>
          <w:p w14:paraId="4660887F" w14:textId="77777777" w:rsidR="004A4F0C" w:rsidRPr="005F74A9" w:rsidRDefault="004A4F0C" w:rsidP="00E10DE4">
            <w:pPr>
              <w:pStyle w:val="ListParagraph"/>
              <w:spacing w:line="300" w:lineRule="atLeast"/>
              <w:ind w:left="0"/>
              <w:rPr>
                <w:rFonts w:ascii="Arial" w:hAnsi="Arial" w:cs="Arial"/>
                <w:color w:val="FFFFFF" w:themeColor="background1"/>
              </w:rPr>
            </w:pPr>
            <w:r w:rsidRPr="005F74A9">
              <w:rPr>
                <w:rFonts w:ascii="Arial" w:hAnsi="Arial" w:cs="Arial"/>
                <w:color w:val="FFFFFF" w:themeColor="background1"/>
              </w:rPr>
              <w:t>Local Authority Area</w:t>
            </w:r>
          </w:p>
        </w:tc>
        <w:tc>
          <w:tcPr>
            <w:tcW w:w="1305" w:type="dxa"/>
            <w:shd w:val="clear" w:color="auto" w:fill="7030A0"/>
          </w:tcPr>
          <w:p w14:paraId="00614855" w14:textId="77777777" w:rsidR="004A4F0C" w:rsidRPr="005F74A9" w:rsidRDefault="004A4F0C" w:rsidP="00E10DE4">
            <w:pPr>
              <w:pStyle w:val="ListParagraph"/>
              <w:spacing w:line="300" w:lineRule="atLeast"/>
              <w:ind w:left="0"/>
              <w:rPr>
                <w:rFonts w:ascii="Arial" w:hAnsi="Arial" w:cs="Arial"/>
                <w:color w:val="FFFFFF" w:themeColor="background1"/>
              </w:rPr>
            </w:pPr>
            <w:r w:rsidRPr="005F74A9">
              <w:rPr>
                <w:rFonts w:ascii="Arial" w:hAnsi="Arial" w:cs="Arial"/>
                <w:color w:val="FFFFFF" w:themeColor="background1"/>
              </w:rPr>
              <w:t xml:space="preserve">Number of HMO properties </w:t>
            </w:r>
          </w:p>
        </w:tc>
        <w:tc>
          <w:tcPr>
            <w:tcW w:w="1452" w:type="dxa"/>
            <w:shd w:val="clear" w:color="auto" w:fill="7030A0"/>
          </w:tcPr>
          <w:p w14:paraId="2F209057" w14:textId="77777777" w:rsidR="004A4F0C" w:rsidRPr="005F74A9" w:rsidRDefault="004A4F0C" w:rsidP="00E10DE4">
            <w:pPr>
              <w:pStyle w:val="ListParagraph"/>
              <w:spacing w:line="300" w:lineRule="atLeast"/>
              <w:ind w:left="0"/>
              <w:rPr>
                <w:rFonts w:ascii="Arial" w:hAnsi="Arial" w:cs="Arial"/>
                <w:color w:val="FFFFFF" w:themeColor="background1"/>
              </w:rPr>
            </w:pPr>
            <w:r w:rsidRPr="005F74A9">
              <w:rPr>
                <w:rFonts w:ascii="Arial" w:hAnsi="Arial" w:cs="Arial"/>
                <w:color w:val="FFFFFF" w:themeColor="background1"/>
              </w:rPr>
              <w:t xml:space="preserve">Approximate Bed spaces </w:t>
            </w:r>
          </w:p>
        </w:tc>
        <w:tc>
          <w:tcPr>
            <w:tcW w:w="1276" w:type="dxa"/>
            <w:shd w:val="clear" w:color="auto" w:fill="7030A0"/>
          </w:tcPr>
          <w:p w14:paraId="0F4E1A93" w14:textId="77777777" w:rsidR="004A4F0C" w:rsidRPr="005F74A9" w:rsidRDefault="004A4F0C" w:rsidP="00E10DE4">
            <w:pPr>
              <w:pStyle w:val="ListParagraph"/>
              <w:spacing w:line="300" w:lineRule="atLeast"/>
              <w:ind w:left="0"/>
              <w:rPr>
                <w:rFonts w:ascii="Arial" w:hAnsi="Arial" w:cs="Arial"/>
                <w:color w:val="FFFFFF" w:themeColor="background1"/>
              </w:rPr>
            </w:pPr>
            <w:r w:rsidRPr="005F74A9">
              <w:rPr>
                <w:rFonts w:ascii="Arial" w:hAnsi="Arial" w:cs="Arial"/>
                <w:color w:val="FFFFFF" w:themeColor="background1"/>
              </w:rPr>
              <w:t xml:space="preserve">Population </w:t>
            </w:r>
          </w:p>
          <w:p w14:paraId="425E2769" w14:textId="77777777" w:rsidR="004A4F0C" w:rsidRPr="005F74A9" w:rsidRDefault="004A4F0C" w:rsidP="00E10DE4">
            <w:pPr>
              <w:pStyle w:val="ListParagraph"/>
              <w:spacing w:line="300" w:lineRule="atLeast"/>
              <w:ind w:left="0"/>
              <w:rPr>
                <w:rFonts w:ascii="Arial" w:hAnsi="Arial" w:cs="Arial"/>
                <w:color w:val="FFFFFF" w:themeColor="background1"/>
              </w:rPr>
            </w:pPr>
            <w:r w:rsidRPr="005F74A9">
              <w:rPr>
                <w:rFonts w:ascii="Arial" w:hAnsi="Arial" w:cs="Arial"/>
                <w:color w:val="FFFFFF" w:themeColor="background1"/>
              </w:rPr>
              <w:t xml:space="preserve">(2021 Census) </w:t>
            </w:r>
          </w:p>
        </w:tc>
        <w:tc>
          <w:tcPr>
            <w:tcW w:w="1249" w:type="dxa"/>
            <w:shd w:val="clear" w:color="auto" w:fill="7030A0"/>
          </w:tcPr>
          <w:p w14:paraId="311AAEDA" w14:textId="77777777" w:rsidR="004A4F0C" w:rsidRPr="005F74A9" w:rsidRDefault="004A4F0C" w:rsidP="00E10DE4">
            <w:pPr>
              <w:spacing w:line="300" w:lineRule="atLeast"/>
              <w:rPr>
                <w:rFonts w:ascii="Arial" w:hAnsi="Arial" w:cs="Arial"/>
                <w:color w:val="FFFFFF" w:themeColor="background1"/>
              </w:rPr>
            </w:pPr>
            <w:r w:rsidRPr="005F74A9">
              <w:rPr>
                <w:rFonts w:ascii="Arial" w:hAnsi="Arial" w:cs="Arial"/>
                <w:color w:val="FFFFFF" w:themeColor="background1"/>
              </w:rPr>
              <w:t xml:space="preserve">Total number of residential dwellings </w:t>
            </w:r>
          </w:p>
        </w:tc>
        <w:tc>
          <w:tcPr>
            <w:tcW w:w="950" w:type="dxa"/>
            <w:shd w:val="clear" w:color="auto" w:fill="7030A0"/>
          </w:tcPr>
          <w:p w14:paraId="67B2B483" w14:textId="77777777" w:rsidR="004A4F0C" w:rsidRPr="005F74A9" w:rsidRDefault="004A4F0C" w:rsidP="00E10DE4">
            <w:pPr>
              <w:spacing w:line="300" w:lineRule="atLeast"/>
              <w:rPr>
                <w:rFonts w:ascii="Arial" w:hAnsi="Arial" w:cs="Arial"/>
                <w:color w:val="FFFFFF" w:themeColor="background1"/>
              </w:rPr>
            </w:pPr>
            <w:r w:rsidRPr="005F74A9">
              <w:rPr>
                <w:rFonts w:ascii="Arial" w:hAnsi="Arial" w:cs="Arial"/>
                <w:color w:val="FFFFFF" w:themeColor="background1"/>
              </w:rPr>
              <w:t xml:space="preserve">HMO Density </w:t>
            </w:r>
          </w:p>
        </w:tc>
      </w:tr>
      <w:tr w:rsidR="004A4F0C" w:rsidRPr="00E810AA" w14:paraId="52BE0C52" w14:textId="77777777" w:rsidTr="00E10DE4">
        <w:tc>
          <w:tcPr>
            <w:tcW w:w="1413" w:type="dxa"/>
          </w:tcPr>
          <w:p w14:paraId="74080F73" w14:textId="77777777" w:rsidR="004A4F0C" w:rsidRPr="00E810AA" w:rsidRDefault="004A4F0C" w:rsidP="00E10DE4">
            <w:pPr>
              <w:pStyle w:val="ListParagraph"/>
              <w:spacing w:line="300" w:lineRule="atLeast"/>
              <w:ind w:left="0"/>
              <w:rPr>
                <w:rFonts w:ascii="Arial" w:hAnsi="Arial" w:cs="Arial"/>
              </w:rPr>
            </w:pPr>
            <w:r w:rsidRPr="00E810AA">
              <w:rPr>
                <w:rFonts w:ascii="Arial" w:hAnsi="Arial" w:cs="Arial"/>
              </w:rPr>
              <w:t xml:space="preserve">Blackburn with Darwen </w:t>
            </w:r>
          </w:p>
        </w:tc>
        <w:tc>
          <w:tcPr>
            <w:tcW w:w="1305" w:type="dxa"/>
          </w:tcPr>
          <w:p w14:paraId="7445A922" w14:textId="77777777" w:rsidR="004A4F0C" w:rsidRPr="00E810AA" w:rsidRDefault="004A4F0C" w:rsidP="00E10DE4">
            <w:pPr>
              <w:pStyle w:val="ListParagraph"/>
              <w:spacing w:line="300" w:lineRule="atLeast"/>
              <w:ind w:left="0"/>
              <w:rPr>
                <w:rFonts w:ascii="Arial" w:hAnsi="Arial" w:cs="Arial"/>
              </w:rPr>
            </w:pPr>
            <w:r w:rsidRPr="00E810AA">
              <w:rPr>
                <w:rFonts w:ascii="Arial" w:hAnsi="Arial" w:cs="Arial"/>
              </w:rPr>
              <w:t xml:space="preserve">390 </w:t>
            </w:r>
            <w:r w:rsidRPr="00E810AA">
              <w:rPr>
                <w:rStyle w:val="FootnoteReference"/>
                <w:rFonts w:ascii="Arial" w:hAnsi="Arial" w:cs="Arial"/>
              </w:rPr>
              <w:footnoteReference w:id="5"/>
            </w:r>
          </w:p>
        </w:tc>
        <w:tc>
          <w:tcPr>
            <w:tcW w:w="1452" w:type="dxa"/>
          </w:tcPr>
          <w:p w14:paraId="2F766F05" w14:textId="77777777" w:rsidR="004A4F0C" w:rsidRPr="00E810AA" w:rsidRDefault="004A4F0C" w:rsidP="00E10DE4">
            <w:pPr>
              <w:pStyle w:val="ListParagraph"/>
              <w:spacing w:line="300" w:lineRule="atLeast"/>
              <w:ind w:left="0"/>
              <w:rPr>
                <w:rFonts w:ascii="Arial" w:hAnsi="Arial" w:cs="Arial"/>
              </w:rPr>
            </w:pPr>
            <w:r w:rsidRPr="00E810AA">
              <w:rPr>
                <w:rFonts w:ascii="Arial" w:hAnsi="Arial" w:cs="Arial"/>
              </w:rPr>
              <w:t>862</w:t>
            </w:r>
          </w:p>
        </w:tc>
        <w:tc>
          <w:tcPr>
            <w:tcW w:w="1276" w:type="dxa"/>
          </w:tcPr>
          <w:p w14:paraId="6D8DDB6B" w14:textId="77777777" w:rsidR="004A4F0C" w:rsidRPr="00E810AA" w:rsidRDefault="004A4F0C" w:rsidP="00E10DE4">
            <w:pPr>
              <w:pStyle w:val="ListParagraph"/>
              <w:spacing w:line="300" w:lineRule="atLeast"/>
              <w:ind w:left="0"/>
              <w:rPr>
                <w:rFonts w:ascii="Arial" w:hAnsi="Arial" w:cs="Arial"/>
              </w:rPr>
            </w:pPr>
            <w:r w:rsidRPr="00E810AA">
              <w:rPr>
                <w:rFonts w:ascii="Arial" w:hAnsi="Arial" w:cs="Arial"/>
              </w:rPr>
              <w:t>154,800</w:t>
            </w:r>
          </w:p>
        </w:tc>
        <w:tc>
          <w:tcPr>
            <w:tcW w:w="1249" w:type="dxa"/>
          </w:tcPr>
          <w:p w14:paraId="76279872" w14:textId="77777777" w:rsidR="004A4F0C" w:rsidRPr="00E810AA" w:rsidRDefault="004A4F0C" w:rsidP="00E10DE4">
            <w:pPr>
              <w:spacing w:line="300" w:lineRule="atLeast"/>
              <w:contextualSpacing/>
              <w:rPr>
                <w:rFonts w:ascii="Arial" w:hAnsi="Arial" w:cs="Arial"/>
              </w:rPr>
            </w:pPr>
            <w:r w:rsidRPr="00E810AA">
              <w:rPr>
                <w:rFonts w:ascii="Arial" w:hAnsi="Arial" w:cs="Arial"/>
              </w:rPr>
              <w:t>63, 225</w:t>
            </w:r>
          </w:p>
        </w:tc>
        <w:tc>
          <w:tcPr>
            <w:tcW w:w="950" w:type="dxa"/>
          </w:tcPr>
          <w:p w14:paraId="681041ED" w14:textId="77777777" w:rsidR="004A4F0C" w:rsidRPr="00E810AA" w:rsidRDefault="004A4F0C" w:rsidP="00E10DE4">
            <w:pPr>
              <w:spacing w:line="300" w:lineRule="atLeast"/>
              <w:rPr>
                <w:rFonts w:ascii="Arial" w:hAnsi="Arial" w:cs="Arial"/>
              </w:rPr>
            </w:pPr>
            <w:r w:rsidRPr="00E810AA">
              <w:rPr>
                <w:rFonts w:ascii="Arial" w:hAnsi="Arial" w:cs="Arial"/>
              </w:rPr>
              <w:t>1/162</w:t>
            </w:r>
          </w:p>
        </w:tc>
      </w:tr>
      <w:tr w:rsidR="004A4F0C" w:rsidRPr="00E810AA" w14:paraId="2073D304" w14:textId="77777777" w:rsidTr="00E10DE4">
        <w:tc>
          <w:tcPr>
            <w:tcW w:w="1413" w:type="dxa"/>
          </w:tcPr>
          <w:p w14:paraId="5FEB7CDB" w14:textId="77777777" w:rsidR="004A4F0C" w:rsidRPr="00E810AA" w:rsidRDefault="004A4F0C" w:rsidP="00E10DE4">
            <w:pPr>
              <w:pStyle w:val="ListParagraph"/>
              <w:spacing w:line="300" w:lineRule="atLeast"/>
              <w:ind w:left="0"/>
              <w:rPr>
                <w:rFonts w:ascii="Arial" w:hAnsi="Arial" w:cs="Arial"/>
              </w:rPr>
            </w:pPr>
            <w:r w:rsidRPr="00E810AA">
              <w:rPr>
                <w:rFonts w:ascii="Arial" w:hAnsi="Arial" w:cs="Arial"/>
              </w:rPr>
              <w:t>Burnley</w:t>
            </w:r>
          </w:p>
        </w:tc>
        <w:tc>
          <w:tcPr>
            <w:tcW w:w="1305" w:type="dxa"/>
          </w:tcPr>
          <w:p w14:paraId="6821B9F1" w14:textId="77777777" w:rsidR="004A4F0C" w:rsidRPr="00E810AA" w:rsidRDefault="004A4F0C" w:rsidP="00E10DE4">
            <w:pPr>
              <w:pStyle w:val="ListParagraph"/>
              <w:spacing w:line="300" w:lineRule="atLeast"/>
              <w:ind w:left="0"/>
              <w:rPr>
                <w:rFonts w:ascii="Arial" w:hAnsi="Arial" w:cs="Arial"/>
              </w:rPr>
            </w:pPr>
            <w:r w:rsidRPr="00E810AA">
              <w:rPr>
                <w:rFonts w:ascii="Arial" w:hAnsi="Arial" w:cs="Arial"/>
              </w:rPr>
              <w:t>553</w:t>
            </w:r>
            <w:r w:rsidRPr="00E810AA">
              <w:rPr>
                <w:rStyle w:val="FootnoteReference"/>
                <w:rFonts w:ascii="Arial" w:hAnsi="Arial" w:cs="Arial"/>
              </w:rPr>
              <w:footnoteReference w:id="6"/>
            </w:r>
            <w:r w:rsidRPr="00E810AA">
              <w:rPr>
                <w:rFonts w:ascii="Arial" w:hAnsi="Arial" w:cs="Arial"/>
              </w:rPr>
              <w:t xml:space="preserve"> (plus 1528 student dwellings)</w:t>
            </w:r>
          </w:p>
        </w:tc>
        <w:tc>
          <w:tcPr>
            <w:tcW w:w="1452" w:type="dxa"/>
          </w:tcPr>
          <w:p w14:paraId="70E75154" w14:textId="77777777" w:rsidR="004A4F0C" w:rsidRPr="00E810AA" w:rsidRDefault="004A4F0C" w:rsidP="00E10DE4">
            <w:pPr>
              <w:pStyle w:val="ListParagraph"/>
              <w:spacing w:line="300" w:lineRule="atLeast"/>
              <w:ind w:left="0"/>
              <w:rPr>
                <w:rFonts w:ascii="Arial" w:hAnsi="Arial" w:cs="Arial"/>
              </w:rPr>
            </w:pPr>
            <w:r w:rsidRPr="00E810AA">
              <w:rPr>
                <w:rFonts w:ascii="Arial" w:hAnsi="Arial" w:cs="Arial"/>
              </w:rPr>
              <w:t>N/A</w:t>
            </w:r>
          </w:p>
        </w:tc>
        <w:tc>
          <w:tcPr>
            <w:tcW w:w="1276" w:type="dxa"/>
          </w:tcPr>
          <w:p w14:paraId="7527EA3D" w14:textId="77777777" w:rsidR="004A4F0C" w:rsidRPr="00E810AA" w:rsidRDefault="004A4F0C" w:rsidP="00E10DE4">
            <w:pPr>
              <w:pStyle w:val="ListParagraph"/>
              <w:spacing w:line="300" w:lineRule="atLeast"/>
              <w:ind w:left="0"/>
              <w:rPr>
                <w:rFonts w:ascii="Arial" w:hAnsi="Arial" w:cs="Arial"/>
              </w:rPr>
            </w:pPr>
            <w:r w:rsidRPr="00E810AA">
              <w:rPr>
                <w:rFonts w:ascii="Arial" w:hAnsi="Arial" w:cs="Arial"/>
              </w:rPr>
              <w:t>94,700</w:t>
            </w:r>
          </w:p>
        </w:tc>
        <w:tc>
          <w:tcPr>
            <w:tcW w:w="1249" w:type="dxa"/>
          </w:tcPr>
          <w:p w14:paraId="17522790" w14:textId="77777777" w:rsidR="004A4F0C" w:rsidRPr="00E810AA" w:rsidRDefault="004A4F0C" w:rsidP="00E10DE4">
            <w:pPr>
              <w:spacing w:line="300" w:lineRule="atLeast"/>
              <w:contextualSpacing/>
              <w:rPr>
                <w:rFonts w:ascii="Arial" w:hAnsi="Arial" w:cs="Arial"/>
              </w:rPr>
            </w:pPr>
            <w:r w:rsidRPr="00E810AA">
              <w:rPr>
                <w:rFonts w:ascii="Arial" w:hAnsi="Arial" w:cs="Arial"/>
              </w:rPr>
              <w:t>42,540</w:t>
            </w:r>
          </w:p>
        </w:tc>
        <w:tc>
          <w:tcPr>
            <w:tcW w:w="950" w:type="dxa"/>
          </w:tcPr>
          <w:p w14:paraId="45C48D76" w14:textId="77777777" w:rsidR="004A4F0C" w:rsidRPr="00E810AA" w:rsidRDefault="004A4F0C" w:rsidP="00E10DE4">
            <w:pPr>
              <w:spacing w:line="300" w:lineRule="atLeast"/>
              <w:rPr>
                <w:rFonts w:ascii="Arial" w:hAnsi="Arial" w:cs="Arial"/>
              </w:rPr>
            </w:pPr>
            <w:r w:rsidRPr="00E810AA">
              <w:rPr>
                <w:rFonts w:ascii="Arial" w:hAnsi="Arial" w:cs="Arial"/>
              </w:rPr>
              <w:t>1/77</w:t>
            </w:r>
          </w:p>
        </w:tc>
      </w:tr>
      <w:tr w:rsidR="004A4F0C" w:rsidRPr="00E810AA" w14:paraId="4EDAF57D" w14:textId="77777777" w:rsidTr="00E10DE4">
        <w:tc>
          <w:tcPr>
            <w:tcW w:w="1413" w:type="dxa"/>
          </w:tcPr>
          <w:p w14:paraId="1673108E" w14:textId="77777777" w:rsidR="004A4F0C" w:rsidRDefault="004A4F0C" w:rsidP="00E10DE4">
            <w:pPr>
              <w:pStyle w:val="ListParagraph"/>
              <w:spacing w:line="300" w:lineRule="atLeast"/>
              <w:ind w:left="0"/>
              <w:rPr>
                <w:rFonts w:ascii="Arial" w:hAnsi="Arial" w:cs="Arial"/>
              </w:rPr>
            </w:pPr>
            <w:r w:rsidRPr="00E3031B">
              <w:rPr>
                <w:rFonts w:ascii="Arial" w:hAnsi="Arial" w:cs="Arial"/>
              </w:rPr>
              <w:t>Rossendale</w:t>
            </w:r>
          </w:p>
        </w:tc>
        <w:tc>
          <w:tcPr>
            <w:tcW w:w="1305" w:type="dxa"/>
          </w:tcPr>
          <w:p w14:paraId="574ED1BB" w14:textId="77777777" w:rsidR="004A4F0C" w:rsidRDefault="004A4F0C" w:rsidP="00E10DE4">
            <w:pPr>
              <w:pStyle w:val="ListParagraph"/>
              <w:spacing w:line="300" w:lineRule="atLeast"/>
              <w:ind w:left="0"/>
              <w:rPr>
                <w:rFonts w:ascii="Arial" w:hAnsi="Arial" w:cs="Arial"/>
              </w:rPr>
            </w:pPr>
            <w:r>
              <w:rPr>
                <w:rFonts w:ascii="Arial" w:hAnsi="Arial" w:cs="Arial"/>
              </w:rPr>
              <w:t>Unable to obtain information</w:t>
            </w:r>
          </w:p>
        </w:tc>
        <w:tc>
          <w:tcPr>
            <w:tcW w:w="1452" w:type="dxa"/>
          </w:tcPr>
          <w:p w14:paraId="05D0CAFA" w14:textId="77777777" w:rsidR="004A4F0C" w:rsidRDefault="004A4F0C" w:rsidP="00E10DE4">
            <w:pPr>
              <w:pStyle w:val="ListParagraph"/>
              <w:spacing w:line="300" w:lineRule="atLeast"/>
              <w:ind w:left="0"/>
              <w:rPr>
                <w:rFonts w:ascii="Arial" w:hAnsi="Arial" w:cs="Arial"/>
              </w:rPr>
            </w:pPr>
          </w:p>
        </w:tc>
        <w:tc>
          <w:tcPr>
            <w:tcW w:w="1276" w:type="dxa"/>
          </w:tcPr>
          <w:p w14:paraId="36079CB5" w14:textId="77777777" w:rsidR="004A4F0C" w:rsidRDefault="004A4F0C" w:rsidP="00E10DE4">
            <w:pPr>
              <w:pStyle w:val="ListParagraph"/>
              <w:spacing w:line="300" w:lineRule="atLeast"/>
              <w:ind w:left="0"/>
              <w:rPr>
                <w:rFonts w:ascii="Arial" w:hAnsi="Arial" w:cs="Arial"/>
              </w:rPr>
            </w:pPr>
          </w:p>
        </w:tc>
        <w:tc>
          <w:tcPr>
            <w:tcW w:w="1249" w:type="dxa"/>
          </w:tcPr>
          <w:p w14:paraId="5D1394F5" w14:textId="77777777" w:rsidR="004A4F0C" w:rsidRDefault="004A4F0C" w:rsidP="00E10DE4">
            <w:pPr>
              <w:spacing w:line="300" w:lineRule="atLeast"/>
              <w:contextualSpacing/>
              <w:rPr>
                <w:rFonts w:ascii="Arial" w:hAnsi="Arial" w:cs="Arial"/>
              </w:rPr>
            </w:pPr>
          </w:p>
        </w:tc>
        <w:tc>
          <w:tcPr>
            <w:tcW w:w="950" w:type="dxa"/>
          </w:tcPr>
          <w:p w14:paraId="5346669A" w14:textId="77777777" w:rsidR="004A4F0C" w:rsidRDefault="004A4F0C" w:rsidP="00E10DE4">
            <w:pPr>
              <w:spacing w:line="300" w:lineRule="atLeast"/>
              <w:rPr>
                <w:rFonts w:ascii="Arial" w:hAnsi="Arial" w:cs="Arial"/>
              </w:rPr>
            </w:pPr>
          </w:p>
        </w:tc>
      </w:tr>
      <w:tr w:rsidR="004A4F0C" w:rsidRPr="00E810AA" w14:paraId="59F51E5A" w14:textId="77777777" w:rsidTr="00E10DE4">
        <w:tc>
          <w:tcPr>
            <w:tcW w:w="1413" w:type="dxa"/>
          </w:tcPr>
          <w:p w14:paraId="4108AA8E" w14:textId="77777777" w:rsidR="004A4F0C" w:rsidRPr="00E810AA" w:rsidRDefault="004A4F0C" w:rsidP="00E10DE4">
            <w:pPr>
              <w:pStyle w:val="ListParagraph"/>
              <w:spacing w:line="300" w:lineRule="atLeast"/>
              <w:ind w:left="0"/>
              <w:rPr>
                <w:rFonts w:ascii="Arial" w:hAnsi="Arial" w:cs="Arial"/>
              </w:rPr>
            </w:pPr>
            <w:r>
              <w:rPr>
                <w:rFonts w:ascii="Arial" w:hAnsi="Arial" w:cs="Arial"/>
              </w:rPr>
              <w:t>Chorley</w:t>
            </w:r>
          </w:p>
        </w:tc>
        <w:tc>
          <w:tcPr>
            <w:tcW w:w="1305" w:type="dxa"/>
          </w:tcPr>
          <w:p w14:paraId="0483E3E1" w14:textId="77777777" w:rsidR="004A4F0C" w:rsidRPr="00E810AA" w:rsidRDefault="004A4F0C" w:rsidP="00E10DE4">
            <w:pPr>
              <w:pStyle w:val="ListParagraph"/>
              <w:spacing w:line="300" w:lineRule="atLeast"/>
              <w:ind w:left="0"/>
              <w:rPr>
                <w:rFonts w:ascii="Arial" w:hAnsi="Arial" w:cs="Arial"/>
              </w:rPr>
            </w:pPr>
            <w:r>
              <w:rPr>
                <w:rFonts w:ascii="Arial" w:hAnsi="Arial" w:cs="Arial"/>
              </w:rPr>
              <w:t>31</w:t>
            </w:r>
          </w:p>
        </w:tc>
        <w:tc>
          <w:tcPr>
            <w:tcW w:w="1452" w:type="dxa"/>
          </w:tcPr>
          <w:p w14:paraId="52C9DD7E" w14:textId="77777777" w:rsidR="004A4F0C" w:rsidRPr="00E810AA" w:rsidRDefault="004A4F0C" w:rsidP="00E10DE4">
            <w:pPr>
              <w:pStyle w:val="ListParagraph"/>
              <w:spacing w:line="300" w:lineRule="atLeast"/>
              <w:ind w:left="0"/>
              <w:rPr>
                <w:rFonts w:ascii="Arial" w:hAnsi="Arial" w:cs="Arial"/>
              </w:rPr>
            </w:pPr>
            <w:r>
              <w:rPr>
                <w:rFonts w:ascii="Arial" w:hAnsi="Arial" w:cs="Arial"/>
              </w:rPr>
              <w:t>N/A</w:t>
            </w:r>
          </w:p>
        </w:tc>
        <w:tc>
          <w:tcPr>
            <w:tcW w:w="1276" w:type="dxa"/>
          </w:tcPr>
          <w:p w14:paraId="254311CD" w14:textId="77777777" w:rsidR="004A4F0C" w:rsidRPr="00E810AA" w:rsidRDefault="004A4F0C" w:rsidP="00E10DE4">
            <w:pPr>
              <w:pStyle w:val="ListParagraph"/>
              <w:spacing w:line="300" w:lineRule="atLeast"/>
              <w:ind w:left="0"/>
              <w:rPr>
                <w:rFonts w:ascii="Arial" w:hAnsi="Arial" w:cs="Arial"/>
              </w:rPr>
            </w:pPr>
            <w:r>
              <w:rPr>
                <w:rFonts w:ascii="Arial" w:hAnsi="Arial" w:cs="Arial"/>
              </w:rPr>
              <w:t>117,732</w:t>
            </w:r>
          </w:p>
        </w:tc>
        <w:tc>
          <w:tcPr>
            <w:tcW w:w="1249" w:type="dxa"/>
          </w:tcPr>
          <w:p w14:paraId="190EB5F3" w14:textId="77777777" w:rsidR="004A4F0C" w:rsidRPr="00E810AA" w:rsidRDefault="004A4F0C" w:rsidP="00E10DE4">
            <w:pPr>
              <w:spacing w:line="300" w:lineRule="atLeast"/>
              <w:contextualSpacing/>
              <w:rPr>
                <w:rFonts w:ascii="Arial" w:hAnsi="Arial" w:cs="Arial"/>
              </w:rPr>
            </w:pPr>
            <w:r>
              <w:rPr>
                <w:rFonts w:ascii="Arial" w:hAnsi="Arial" w:cs="Arial"/>
              </w:rPr>
              <w:t>53,198</w:t>
            </w:r>
          </w:p>
        </w:tc>
        <w:tc>
          <w:tcPr>
            <w:tcW w:w="950" w:type="dxa"/>
          </w:tcPr>
          <w:p w14:paraId="6466E1E6" w14:textId="77777777" w:rsidR="004A4F0C" w:rsidRPr="00E810AA" w:rsidRDefault="004A4F0C" w:rsidP="00E10DE4">
            <w:pPr>
              <w:spacing w:line="300" w:lineRule="atLeast"/>
              <w:rPr>
                <w:rFonts w:ascii="Arial" w:hAnsi="Arial" w:cs="Arial"/>
              </w:rPr>
            </w:pPr>
            <w:r>
              <w:rPr>
                <w:rFonts w:ascii="Arial" w:hAnsi="Arial" w:cs="Arial"/>
              </w:rPr>
              <w:t>1/176</w:t>
            </w:r>
          </w:p>
        </w:tc>
      </w:tr>
      <w:tr w:rsidR="004A4F0C" w:rsidRPr="00E810AA" w14:paraId="46B63CF5" w14:textId="77777777" w:rsidTr="00E10DE4">
        <w:tc>
          <w:tcPr>
            <w:tcW w:w="1413" w:type="dxa"/>
          </w:tcPr>
          <w:p w14:paraId="2B9A4ED2" w14:textId="77777777" w:rsidR="004A4F0C" w:rsidRDefault="004A4F0C" w:rsidP="00E10DE4">
            <w:pPr>
              <w:pStyle w:val="ListParagraph"/>
              <w:spacing w:line="300" w:lineRule="atLeast"/>
              <w:ind w:left="0"/>
              <w:rPr>
                <w:rFonts w:ascii="Arial" w:hAnsi="Arial" w:cs="Arial"/>
              </w:rPr>
            </w:pPr>
            <w:r w:rsidRPr="00E810AA">
              <w:rPr>
                <w:rFonts w:ascii="Arial" w:hAnsi="Arial" w:cs="Arial"/>
              </w:rPr>
              <w:t xml:space="preserve">Hyndburn </w:t>
            </w:r>
          </w:p>
          <w:p w14:paraId="59CE85E2" w14:textId="77777777" w:rsidR="004A4F0C" w:rsidRPr="00E810AA" w:rsidRDefault="004A4F0C" w:rsidP="00E10DE4">
            <w:pPr>
              <w:pStyle w:val="ListParagraph"/>
              <w:spacing w:line="300" w:lineRule="atLeast"/>
              <w:ind w:left="0"/>
              <w:rPr>
                <w:rFonts w:ascii="Arial" w:hAnsi="Arial" w:cs="Arial"/>
              </w:rPr>
            </w:pPr>
          </w:p>
        </w:tc>
        <w:tc>
          <w:tcPr>
            <w:tcW w:w="1305" w:type="dxa"/>
          </w:tcPr>
          <w:p w14:paraId="62F326C3" w14:textId="77777777" w:rsidR="004A4F0C" w:rsidRPr="00E810AA" w:rsidRDefault="004A4F0C" w:rsidP="00E10DE4">
            <w:pPr>
              <w:pStyle w:val="ListParagraph"/>
              <w:spacing w:line="300" w:lineRule="atLeast"/>
              <w:ind w:left="0"/>
              <w:rPr>
                <w:rFonts w:ascii="Arial" w:hAnsi="Arial" w:cs="Arial"/>
              </w:rPr>
            </w:pPr>
            <w:r w:rsidRPr="005F74A9">
              <w:rPr>
                <w:rFonts w:ascii="Arial" w:hAnsi="Arial" w:cs="Arial"/>
              </w:rPr>
              <w:t>502</w:t>
            </w:r>
          </w:p>
        </w:tc>
        <w:tc>
          <w:tcPr>
            <w:tcW w:w="1452" w:type="dxa"/>
          </w:tcPr>
          <w:p w14:paraId="2522E3C1" w14:textId="77777777" w:rsidR="004A4F0C" w:rsidRPr="007842DE" w:rsidRDefault="004A4F0C" w:rsidP="00E10DE4">
            <w:pPr>
              <w:pStyle w:val="ListParagraph"/>
              <w:spacing w:line="300" w:lineRule="atLeast"/>
              <w:ind w:left="0"/>
              <w:rPr>
                <w:rFonts w:ascii="Arial" w:hAnsi="Arial" w:cs="Arial"/>
                <w:highlight w:val="yellow"/>
              </w:rPr>
            </w:pPr>
          </w:p>
        </w:tc>
        <w:tc>
          <w:tcPr>
            <w:tcW w:w="1276" w:type="dxa"/>
          </w:tcPr>
          <w:p w14:paraId="46881F95" w14:textId="77777777" w:rsidR="004A4F0C" w:rsidRPr="007842DE" w:rsidRDefault="004A4F0C" w:rsidP="00E10DE4">
            <w:pPr>
              <w:pStyle w:val="ListParagraph"/>
              <w:spacing w:line="300" w:lineRule="atLeast"/>
              <w:ind w:left="0"/>
              <w:rPr>
                <w:rFonts w:ascii="Arial" w:hAnsi="Arial" w:cs="Arial"/>
                <w:highlight w:val="yellow"/>
              </w:rPr>
            </w:pPr>
            <w:r w:rsidRPr="005F74A9">
              <w:rPr>
                <w:rFonts w:ascii="Arial" w:hAnsi="Arial" w:cs="Arial"/>
              </w:rPr>
              <w:t>82,200</w:t>
            </w:r>
          </w:p>
        </w:tc>
        <w:tc>
          <w:tcPr>
            <w:tcW w:w="1249" w:type="dxa"/>
          </w:tcPr>
          <w:p w14:paraId="6F306101" w14:textId="77777777" w:rsidR="004A4F0C" w:rsidRPr="007842DE" w:rsidRDefault="004A4F0C" w:rsidP="00E10DE4">
            <w:pPr>
              <w:spacing w:line="300" w:lineRule="atLeast"/>
              <w:contextualSpacing/>
              <w:rPr>
                <w:rFonts w:ascii="Arial" w:hAnsi="Arial" w:cs="Arial"/>
                <w:highlight w:val="yellow"/>
              </w:rPr>
            </w:pPr>
            <w:r w:rsidRPr="005F74A9">
              <w:rPr>
                <w:rFonts w:ascii="Arial" w:hAnsi="Arial" w:cs="Arial"/>
              </w:rPr>
              <w:t>37,609</w:t>
            </w:r>
          </w:p>
        </w:tc>
        <w:tc>
          <w:tcPr>
            <w:tcW w:w="950" w:type="dxa"/>
          </w:tcPr>
          <w:p w14:paraId="2E066750" w14:textId="77777777" w:rsidR="004A4F0C" w:rsidRPr="007842DE" w:rsidRDefault="004A4F0C" w:rsidP="00E10DE4">
            <w:pPr>
              <w:keepNext/>
              <w:spacing w:line="300" w:lineRule="atLeast"/>
              <w:rPr>
                <w:rFonts w:ascii="Arial" w:hAnsi="Arial" w:cs="Arial"/>
                <w:highlight w:val="yellow"/>
              </w:rPr>
            </w:pPr>
            <w:r w:rsidRPr="005F74A9">
              <w:rPr>
                <w:rFonts w:ascii="Arial" w:hAnsi="Arial" w:cs="Arial"/>
              </w:rPr>
              <w:t>1/73</w:t>
            </w:r>
          </w:p>
        </w:tc>
      </w:tr>
    </w:tbl>
    <w:p w14:paraId="0AA33A36" w14:textId="77777777" w:rsidR="0041654A" w:rsidRPr="00DB1781" w:rsidRDefault="0041654A" w:rsidP="00DB1781">
      <w:pPr>
        <w:spacing w:after="0" w:line="300" w:lineRule="atLeast"/>
        <w:rPr>
          <w:rFonts w:ascii="Arial" w:hAnsi="Arial" w:cs="Arial"/>
        </w:rPr>
      </w:pPr>
    </w:p>
    <w:p w14:paraId="32FCE988" w14:textId="77777777" w:rsidR="0041654A" w:rsidRDefault="0041654A" w:rsidP="00E810AA">
      <w:pPr>
        <w:pStyle w:val="ListParagraph"/>
        <w:spacing w:after="0" w:line="300" w:lineRule="atLeast"/>
        <w:ind w:left="1429"/>
        <w:rPr>
          <w:rFonts w:ascii="Arial" w:hAnsi="Arial" w:cs="Arial"/>
        </w:rPr>
      </w:pPr>
    </w:p>
    <w:p w14:paraId="2B97DDED" w14:textId="77777777" w:rsidR="00DB1781" w:rsidRDefault="00DB1781" w:rsidP="00E810AA">
      <w:pPr>
        <w:pStyle w:val="ListParagraph"/>
        <w:spacing w:after="0" w:line="300" w:lineRule="atLeast"/>
        <w:ind w:left="1429"/>
        <w:rPr>
          <w:rFonts w:ascii="Arial" w:hAnsi="Arial" w:cs="Arial"/>
        </w:rPr>
      </w:pPr>
    </w:p>
    <w:p w14:paraId="7C298690" w14:textId="77777777" w:rsidR="00DB1781" w:rsidRDefault="00DB1781" w:rsidP="00E810AA">
      <w:pPr>
        <w:pStyle w:val="ListParagraph"/>
        <w:spacing w:after="0" w:line="300" w:lineRule="atLeast"/>
        <w:ind w:left="1429"/>
        <w:rPr>
          <w:rFonts w:ascii="Arial" w:hAnsi="Arial" w:cs="Arial"/>
        </w:rPr>
      </w:pPr>
    </w:p>
    <w:p w14:paraId="601C4EBA" w14:textId="77777777" w:rsidR="00DB1781" w:rsidRDefault="00DB1781" w:rsidP="00E810AA">
      <w:pPr>
        <w:pStyle w:val="ListParagraph"/>
        <w:spacing w:after="0" w:line="300" w:lineRule="atLeast"/>
        <w:ind w:left="1429"/>
        <w:rPr>
          <w:rFonts w:ascii="Arial" w:hAnsi="Arial" w:cs="Arial"/>
        </w:rPr>
      </w:pPr>
    </w:p>
    <w:p w14:paraId="39051EB2" w14:textId="77777777" w:rsidR="00DB1781" w:rsidRDefault="00DB1781" w:rsidP="00E810AA">
      <w:pPr>
        <w:pStyle w:val="ListParagraph"/>
        <w:spacing w:after="0" w:line="300" w:lineRule="atLeast"/>
        <w:ind w:left="1429"/>
        <w:rPr>
          <w:rFonts w:ascii="Arial" w:hAnsi="Arial" w:cs="Arial"/>
        </w:rPr>
      </w:pPr>
    </w:p>
    <w:p w14:paraId="14776670" w14:textId="77777777" w:rsidR="00DB1781" w:rsidRDefault="00DB1781" w:rsidP="00E810AA">
      <w:pPr>
        <w:pStyle w:val="ListParagraph"/>
        <w:spacing w:after="0" w:line="300" w:lineRule="atLeast"/>
        <w:ind w:left="1429"/>
        <w:rPr>
          <w:rFonts w:ascii="Arial" w:hAnsi="Arial" w:cs="Arial"/>
        </w:rPr>
      </w:pPr>
    </w:p>
    <w:p w14:paraId="43A18D03" w14:textId="77777777" w:rsidR="00DB1781" w:rsidRDefault="00DB1781" w:rsidP="00E810AA">
      <w:pPr>
        <w:pStyle w:val="ListParagraph"/>
        <w:spacing w:after="0" w:line="300" w:lineRule="atLeast"/>
        <w:ind w:left="1429"/>
        <w:rPr>
          <w:rFonts w:ascii="Arial" w:hAnsi="Arial" w:cs="Arial"/>
        </w:rPr>
      </w:pPr>
    </w:p>
    <w:p w14:paraId="27AB7A04" w14:textId="77777777" w:rsidR="00DB1781" w:rsidRPr="00E810AA" w:rsidRDefault="00DB1781" w:rsidP="00E810AA">
      <w:pPr>
        <w:pStyle w:val="ListParagraph"/>
        <w:spacing w:after="0" w:line="300" w:lineRule="atLeast"/>
        <w:ind w:left="1429"/>
        <w:rPr>
          <w:rFonts w:ascii="Arial" w:hAnsi="Arial" w:cs="Arial"/>
        </w:rPr>
      </w:pPr>
    </w:p>
    <w:p w14:paraId="7874C1B1" w14:textId="77777777" w:rsidR="0041654A" w:rsidRPr="00E810AA" w:rsidRDefault="0041654A" w:rsidP="00E810AA">
      <w:pPr>
        <w:pStyle w:val="ListParagraph"/>
        <w:spacing w:after="0" w:line="300" w:lineRule="atLeast"/>
        <w:ind w:left="1429"/>
        <w:rPr>
          <w:rFonts w:ascii="Arial" w:hAnsi="Arial" w:cs="Arial"/>
        </w:rPr>
      </w:pPr>
    </w:p>
    <w:p w14:paraId="3237A620" w14:textId="77777777" w:rsidR="0041654A" w:rsidRPr="00E810AA" w:rsidRDefault="0041654A" w:rsidP="00E810AA">
      <w:pPr>
        <w:pStyle w:val="ListParagraph"/>
        <w:spacing w:after="0" w:line="300" w:lineRule="atLeast"/>
        <w:ind w:left="1429"/>
        <w:rPr>
          <w:rFonts w:ascii="Arial" w:hAnsi="Arial" w:cs="Arial"/>
        </w:rPr>
      </w:pPr>
    </w:p>
    <w:p w14:paraId="1BECF929" w14:textId="77777777" w:rsidR="0041654A" w:rsidRPr="00E810AA" w:rsidRDefault="0041654A" w:rsidP="00E810AA">
      <w:pPr>
        <w:pStyle w:val="ListParagraph"/>
        <w:spacing w:after="0" w:line="300" w:lineRule="atLeast"/>
        <w:ind w:left="1429"/>
        <w:rPr>
          <w:rFonts w:ascii="Arial" w:hAnsi="Arial" w:cs="Arial"/>
        </w:rPr>
      </w:pPr>
    </w:p>
    <w:p w14:paraId="34D2EFBF" w14:textId="77777777" w:rsidR="00851D05" w:rsidRDefault="00851D05" w:rsidP="00851D05">
      <w:pPr>
        <w:pStyle w:val="ListParagraph"/>
        <w:spacing w:after="0" w:line="300" w:lineRule="atLeast"/>
        <w:ind w:left="709"/>
        <w:rPr>
          <w:rFonts w:ascii="Arial" w:hAnsi="Arial" w:cs="Arial"/>
        </w:rPr>
      </w:pPr>
    </w:p>
    <w:p w14:paraId="23EE389C" w14:textId="77777777" w:rsidR="00851D05" w:rsidRDefault="00851D05" w:rsidP="00851D05">
      <w:pPr>
        <w:pStyle w:val="ListParagraph"/>
        <w:spacing w:after="0" w:line="300" w:lineRule="atLeast"/>
        <w:ind w:left="709"/>
        <w:rPr>
          <w:rFonts w:ascii="Arial" w:hAnsi="Arial" w:cs="Arial"/>
        </w:rPr>
      </w:pPr>
    </w:p>
    <w:p w14:paraId="4E436A44" w14:textId="77777777" w:rsidR="00851D05" w:rsidRDefault="00851D05" w:rsidP="00851D05">
      <w:pPr>
        <w:pStyle w:val="ListParagraph"/>
        <w:spacing w:after="0" w:line="300" w:lineRule="atLeast"/>
        <w:ind w:left="709"/>
        <w:rPr>
          <w:rFonts w:ascii="Arial" w:hAnsi="Arial" w:cs="Arial"/>
        </w:rPr>
      </w:pPr>
    </w:p>
    <w:p w14:paraId="2E546957" w14:textId="77777777" w:rsidR="00851D05" w:rsidRDefault="00851D05" w:rsidP="00851D05">
      <w:pPr>
        <w:pStyle w:val="ListParagraph"/>
        <w:spacing w:after="0" w:line="300" w:lineRule="atLeast"/>
        <w:ind w:left="709"/>
        <w:rPr>
          <w:rFonts w:ascii="Arial" w:hAnsi="Arial" w:cs="Arial"/>
        </w:rPr>
      </w:pPr>
    </w:p>
    <w:p w14:paraId="5059B93F" w14:textId="77777777" w:rsidR="00851D05" w:rsidRDefault="00851D05" w:rsidP="00851D05">
      <w:pPr>
        <w:pStyle w:val="ListParagraph"/>
        <w:spacing w:after="0" w:line="300" w:lineRule="atLeast"/>
        <w:ind w:left="709"/>
        <w:rPr>
          <w:rFonts w:ascii="Arial" w:hAnsi="Arial" w:cs="Arial"/>
        </w:rPr>
      </w:pPr>
    </w:p>
    <w:p w14:paraId="1C5053BA" w14:textId="77777777" w:rsidR="00851D05" w:rsidRDefault="00851D05" w:rsidP="00851D05">
      <w:pPr>
        <w:pStyle w:val="ListParagraph"/>
        <w:spacing w:after="0" w:line="300" w:lineRule="atLeast"/>
        <w:ind w:left="709"/>
        <w:rPr>
          <w:rFonts w:ascii="Arial" w:hAnsi="Arial" w:cs="Arial"/>
        </w:rPr>
      </w:pPr>
    </w:p>
    <w:p w14:paraId="772C4B0A" w14:textId="77777777" w:rsidR="00851D05" w:rsidRDefault="00851D05" w:rsidP="00851D05">
      <w:pPr>
        <w:pStyle w:val="ListParagraph"/>
        <w:spacing w:after="0" w:line="300" w:lineRule="atLeast"/>
        <w:ind w:left="709"/>
        <w:rPr>
          <w:rFonts w:ascii="Arial" w:hAnsi="Arial" w:cs="Arial"/>
        </w:rPr>
      </w:pPr>
    </w:p>
    <w:p w14:paraId="51F7D7E6" w14:textId="77777777" w:rsidR="00851D05" w:rsidRDefault="00851D05" w:rsidP="00851D05">
      <w:pPr>
        <w:pStyle w:val="ListParagraph"/>
        <w:spacing w:after="0" w:line="300" w:lineRule="atLeast"/>
        <w:ind w:left="709"/>
        <w:rPr>
          <w:rFonts w:ascii="Arial" w:hAnsi="Arial" w:cs="Arial"/>
        </w:rPr>
      </w:pPr>
    </w:p>
    <w:p w14:paraId="590904F4" w14:textId="4B7642FD" w:rsidR="009E3074" w:rsidRDefault="005F74A9" w:rsidP="00DB1781">
      <w:pPr>
        <w:pStyle w:val="ListParagraph"/>
        <w:numPr>
          <w:ilvl w:val="1"/>
          <w:numId w:val="12"/>
        </w:numPr>
        <w:spacing w:after="0" w:line="300" w:lineRule="atLeast"/>
        <w:ind w:left="709" w:hanging="709"/>
        <w:rPr>
          <w:rFonts w:ascii="Arial" w:hAnsi="Arial" w:cs="Arial"/>
        </w:rPr>
      </w:pPr>
      <w:r>
        <w:rPr>
          <w:rFonts w:ascii="Arial" w:hAnsi="Arial" w:cs="Arial"/>
        </w:rPr>
        <w:t xml:space="preserve">Hyndburn has similar HMO numbers to Burnley. Burnley has </w:t>
      </w:r>
      <w:r w:rsidR="00851D05">
        <w:rPr>
          <w:rFonts w:ascii="Arial" w:hAnsi="Arial" w:cs="Arial"/>
        </w:rPr>
        <w:t>an</w:t>
      </w:r>
      <w:r>
        <w:rPr>
          <w:rFonts w:ascii="Arial" w:hAnsi="Arial" w:cs="Arial"/>
        </w:rPr>
        <w:t xml:space="preserve"> Article 4 Direction for HMOs </w:t>
      </w:r>
      <w:r w:rsidR="00851D05">
        <w:rPr>
          <w:rFonts w:ascii="Arial" w:hAnsi="Arial" w:cs="Arial"/>
        </w:rPr>
        <w:t xml:space="preserve">covering 9 wards </w:t>
      </w:r>
      <w:r>
        <w:rPr>
          <w:rFonts w:ascii="Arial" w:hAnsi="Arial" w:cs="Arial"/>
        </w:rPr>
        <w:t>but also have a selective licensing scheme which runs to 2027.  It is considered that there is a</w:t>
      </w:r>
      <w:r w:rsidR="009E3074" w:rsidRPr="00DB1781">
        <w:rPr>
          <w:rFonts w:ascii="Arial" w:hAnsi="Arial" w:cs="Arial"/>
        </w:rPr>
        <w:t xml:space="preserve"> wide range of social and economic factors</w:t>
      </w:r>
      <w:r w:rsidR="00FD1C0F" w:rsidRPr="00DB1781">
        <w:rPr>
          <w:rFonts w:ascii="Arial" w:hAnsi="Arial" w:cs="Arial"/>
        </w:rPr>
        <w:t xml:space="preserve"> which are unique to Hyndburn</w:t>
      </w:r>
      <w:r w:rsidR="009E3074" w:rsidRPr="00DB1781">
        <w:rPr>
          <w:rFonts w:ascii="Arial" w:hAnsi="Arial" w:cs="Arial"/>
        </w:rPr>
        <w:t xml:space="preserve"> </w:t>
      </w:r>
      <w:r>
        <w:rPr>
          <w:rFonts w:ascii="Arial" w:hAnsi="Arial" w:cs="Arial"/>
        </w:rPr>
        <w:t xml:space="preserve">and </w:t>
      </w:r>
      <w:r w:rsidR="009E3074" w:rsidRPr="00DB1781">
        <w:rPr>
          <w:rFonts w:ascii="Arial" w:hAnsi="Arial" w:cs="Arial"/>
        </w:rPr>
        <w:t xml:space="preserve">are considered to have contributed towards the high number of HMOs in Hyndburn. </w:t>
      </w:r>
      <w:r w:rsidR="00DB1781">
        <w:rPr>
          <w:rFonts w:ascii="Arial" w:hAnsi="Arial" w:cs="Arial"/>
        </w:rPr>
        <w:t xml:space="preserve"> </w:t>
      </w:r>
      <w:r w:rsidR="009E3074" w:rsidRPr="00DB1781">
        <w:rPr>
          <w:rFonts w:ascii="Arial" w:hAnsi="Arial" w:cs="Arial"/>
        </w:rPr>
        <w:t>Each of those fa</w:t>
      </w:r>
      <w:r w:rsidR="00DB1781">
        <w:rPr>
          <w:rFonts w:ascii="Arial" w:hAnsi="Arial" w:cs="Arial"/>
        </w:rPr>
        <w:t>ctors will be discussed in turn</w:t>
      </w:r>
      <w:r w:rsidR="006F299F">
        <w:rPr>
          <w:rFonts w:ascii="Arial" w:hAnsi="Arial" w:cs="Arial"/>
        </w:rPr>
        <w:t xml:space="preserve"> below</w:t>
      </w:r>
      <w:r w:rsidR="009E3074" w:rsidRPr="00DB1781">
        <w:rPr>
          <w:rFonts w:ascii="Arial" w:hAnsi="Arial" w:cs="Arial"/>
        </w:rPr>
        <w:t xml:space="preserve">. </w:t>
      </w:r>
      <w:r w:rsidR="006F299F">
        <w:rPr>
          <w:rFonts w:ascii="Arial" w:hAnsi="Arial" w:cs="Arial"/>
        </w:rPr>
        <w:t xml:space="preserve"> </w:t>
      </w:r>
    </w:p>
    <w:p w14:paraId="4A0FDACF" w14:textId="77777777" w:rsidR="00DB1781" w:rsidRPr="00DB1781" w:rsidRDefault="00DB1781" w:rsidP="00DB1781">
      <w:pPr>
        <w:pStyle w:val="ListParagraph"/>
        <w:spacing w:after="0" w:line="300" w:lineRule="atLeast"/>
        <w:ind w:left="709"/>
        <w:rPr>
          <w:rFonts w:ascii="Arial" w:hAnsi="Arial" w:cs="Arial"/>
        </w:rPr>
      </w:pPr>
    </w:p>
    <w:p w14:paraId="5D4A0CB1" w14:textId="77777777" w:rsidR="009E3074" w:rsidRPr="00EA678E" w:rsidRDefault="009E3074" w:rsidP="00EA678E">
      <w:pPr>
        <w:spacing w:after="0" w:line="300" w:lineRule="atLeast"/>
        <w:ind w:left="709"/>
        <w:rPr>
          <w:rFonts w:ascii="Arial" w:hAnsi="Arial" w:cs="Arial"/>
          <w:b/>
        </w:rPr>
      </w:pPr>
      <w:r w:rsidRPr="00EA678E">
        <w:rPr>
          <w:rFonts w:ascii="Arial" w:hAnsi="Arial" w:cs="Arial"/>
          <w:b/>
        </w:rPr>
        <w:t xml:space="preserve">Social and Economic </w:t>
      </w:r>
      <w:r w:rsidR="002E5D00" w:rsidRPr="00EA678E">
        <w:rPr>
          <w:rFonts w:ascii="Arial" w:hAnsi="Arial" w:cs="Arial"/>
          <w:b/>
        </w:rPr>
        <w:t>Factors</w:t>
      </w:r>
      <w:r w:rsidR="00EA678E">
        <w:rPr>
          <w:rFonts w:ascii="Arial" w:hAnsi="Arial" w:cs="Arial"/>
          <w:b/>
        </w:rPr>
        <w:t xml:space="preserve"> Contributing t</w:t>
      </w:r>
      <w:r w:rsidRPr="00EA678E">
        <w:rPr>
          <w:rFonts w:ascii="Arial" w:hAnsi="Arial" w:cs="Arial"/>
          <w:b/>
        </w:rPr>
        <w:t xml:space="preserve">owards HMOs provision in Hyndburn </w:t>
      </w:r>
    </w:p>
    <w:p w14:paraId="7CD5C5CD" w14:textId="77777777" w:rsidR="00DB1781" w:rsidRPr="00E810AA" w:rsidRDefault="00DB1781" w:rsidP="00E810AA">
      <w:pPr>
        <w:spacing w:after="0" w:line="300" w:lineRule="atLeast"/>
        <w:ind w:firstLine="709"/>
        <w:rPr>
          <w:rFonts w:ascii="Arial" w:hAnsi="Arial" w:cs="Arial"/>
          <w:u w:val="single"/>
        </w:rPr>
      </w:pPr>
    </w:p>
    <w:p w14:paraId="30125211" w14:textId="77777777" w:rsidR="00BA179C" w:rsidRPr="00B558D1" w:rsidRDefault="00AC02B4" w:rsidP="00B558D1">
      <w:pPr>
        <w:spacing w:after="0" w:line="300" w:lineRule="atLeast"/>
        <w:ind w:left="709"/>
        <w:rPr>
          <w:rFonts w:ascii="Arial" w:hAnsi="Arial" w:cs="Arial"/>
          <w:b/>
          <w:i/>
        </w:rPr>
      </w:pPr>
      <w:r>
        <w:rPr>
          <w:rFonts w:ascii="Arial" w:hAnsi="Arial" w:cs="Arial"/>
          <w:b/>
          <w:i/>
        </w:rPr>
        <w:t>A.</w:t>
      </w:r>
      <w:r>
        <w:rPr>
          <w:rFonts w:ascii="Arial" w:hAnsi="Arial" w:cs="Arial"/>
          <w:b/>
          <w:i/>
        </w:rPr>
        <w:tab/>
      </w:r>
      <w:r w:rsidR="00BA179C" w:rsidRPr="00B558D1">
        <w:rPr>
          <w:rFonts w:ascii="Arial" w:hAnsi="Arial" w:cs="Arial"/>
          <w:b/>
          <w:i/>
        </w:rPr>
        <w:t>House Price and the Affordability Ratio</w:t>
      </w:r>
    </w:p>
    <w:p w14:paraId="49E3351C" w14:textId="77777777" w:rsidR="00DB1781" w:rsidRPr="00C5749D" w:rsidRDefault="00DB1781" w:rsidP="00C5749D">
      <w:pPr>
        <w:spacing w:after="0" w:line="300" w:lineRule="atLeast"/>
        <w:rPr>
          <w:rFonts w:ascii="Arial" w:hAnsi="Arial" w:cs="Arial"/>
          <w:i/>
        </w:rPr>
      </w:pPr>
    </w:p>
    <w:p w14:paraId="2C795255" w14:textId="650DA345" w:rsidR="00792C84" w:rsidRDefault="00D07E49" w:rsidP="00E810AA">
      <w:pPr>
        <w:pStyle w:val="ListParagraph"/>
        <w:numPr>
          <w:ilvl w:val="1"/>
          <w:numId w:val="12"/>
        </w:numPr>
        <w:spacing w:after="0" w:line="300" w:lineRule="atLeast"/>
        <w:ind w:left="709" w:hanging="709"/>
        <w:contextualSpacing w:val="0"/>
        <w:rPr>
          <w:rFonts w:ascii="Arial" w:hAnsi="Arial" w:cs="Arial"/>
        </w:rPr>
      </w:pPr>
      <w:r w:rsidRPr="00E810AA">
        <w:rPr>
          <w:rFonts w:ascii="Arial" w:hAnsi="Arial" w:cs="Arial"/>
        </w:rPr>
        <w:t>It is commonly accepted that within higher</w:t>
      </w:r>
      <w:r w:rsidR="007842DE">
        <w:rPr>
          <w:rFonts w:ascii="Arial" w:hAnsi="Arial" w:cs="Arial"/>
        </w:rPr>
        <w:t xml:space="preserve"> value</w:t>
      </w:r>
      <w:r w:rsidRPr="00E810AA">
        <w:rPr>
          <w:rFonts w:ascii="Arial" w:hAnsi="Arial" w:cs="Arial"/>
        </w:rPr>
        <w:t xml:space="preserve"> </w:t>
      </w:r>
      <w:r w:rsidR="007842DE">
        <w:rPr>
          <w:rFonts w:ascii="Arial" w:hAnsi="Arial" w:cs="Arial"/>
        </w:rPr>
        <w:t>housing market areas</w:t>
      </w:r>
      <w:r w:rsidRPr="00E810AA">
        <w:rPr>
          <w:rFonts w:ascii="Arial" w:hAnsi="Arial" w:cs="Arial"/>
        </w:rPr>
        <w:t xml:space="preserve">, the initial cost of investment </w:t>
      </w:r>
      <w:r w:rsidR="007842DE">
        <w:rPr>
          <w:rFonts w:ascii="Arial" w:hAnsi="Arial" w:cs="Arial"/>
        </w:rPr>
        <w:t>in</w:t>
      </w:r>
      <w:r w:rsidRPr="00E810AA">
        <w:rPr>
          <w:rFonts w:ascii="Arial" w:hAnsi="Arial" w:cs="Arial"/>
        </w:rPr>
        <w:t xml:space="preserve"> HMOs will often be higher. </w:t>
      </w:r>
      <w:r w:rsidR="006F299F">
        <w:rPr>
          <w:rFonts w:ascii="Arial" w:hAnsi="Arial" w:cs="Arial"/>
        </w:rPr>
        <w:t xml:space="preserve"> </w:t>
      </w:r>
      <w:r w:rsidR="00EA7B8C" w:rsidRPr="00EA7B8C">
        <w:rPr>
          <w:rFonts w:ascii="Arial" w:hAnsi="Arial" w:cs="Arial"/>
        </w:rPr>
        <w:t>HMOs are generally valued higher than standard residential properties because their market value is driven by the income they generate (multi-let income) rather than just comparable local sales.</w:t>
      </w:r>
      <w:r w:rsidR="00EA7B8C">
        <w:rPr>
          <w:rFonts w:ascii="Arial" w:hAnsi="Arial" w:cs="Arial"/>
        </w:rPr>
        <w:t xml:space="preserve">  Voids are </w:t>
      </w:r>
      <w:r w:rsidR="00EA7B8C">
        <w:rPr>
          <w:rFonts w:ascii="Arial" w:hAnsi="Arial" w:cs="Arial"/>
        </w:rPr>
        <w:lastRenderedPageBreak/>
        <w:t>less of a risk because as one tenant leaves, they can be replaced and income is still being generated by the remaining tenants.  There are higher maintenance and management costs</w:t>
      </w:r>
      <w:r w:rsidR="00EF41E0">
        <w:rPr>
          <w:rFonts w:ascii="Arial" w:hAnsi="Arial" w:cs="Arial"/>
        </w:rPr>
        <w:t>,</w:t>
      </w:r>
      <w:r w:rsidR="00EA7B8C">
        <w:rPr>
          <w:rFonts w:ascii="Arial" w:hAnsi="Arial" w:cs="Arial"/>
        </w:rPr>
        <w:t xml:space="preserve"> but this still leaves a higher yield overall.</w:t>
      </w:r>
    </w:p>
    <w:p w14:paraId="53E66BFD" w14:textId="77777777" w:rsidR="00851D05" w:rsidRPr="00E810AA" w:rsidRDefault="00851D05" w:rsidP="00851D05">
      <w:pPr>
        <w:pStyle w:val="ListParagraph"/>
        <w:spacing w:after="0" w:line="300" w:lineRule="atLeast"/>
        <w:ind w:left="709"/>
        <w:contextualSpacing w:val="0"/>
        <w:rPr>
          <w:rFonts w:ascii="Arial" w:hAnsi="Arial" w:cs="Arial"/>
        </w:rPr>
      </w:pPr>
    </w:p>
    <w:p w14:paraId="5724BA35" w14:textId="61EBD0A2" w:rsidR="002E6C07" w:rsidRDefault="00D77948" w:rsidP="002E6C07">
      <w:pPr>
        <w:pStyle w:val="ListParagraph"/>
        <w:numPr>
          <w:ilvl w:val="1"/>
          <w:numId w:val="12"/>
        </w:numPr>
        <w:spacing w:after="0" w:line="300" w:lineRule="atLeast"/>
        <w:ind w:left="709" w:hanging="709"/>
        <w:contextualSpacing w:val="0"/>
        <w:rPr>
          <w:rFonts w:ascii="Arial" w:hAnsi="Arial" w:cs="Arial"/>
        </w:rPr>
      </w:pPr>
      <w:r>
        <w:rPr>
          <w:rFonts w:ascii="Arial" w:hAnsi="Arial" w:cs="Arial"/>
        </w:rPr>
        <w:t xml:space="preserve">The </w:t>
      </w:r>
      <w:r w:rsidR="00DA5343" w:rsidRPr="00E810AA">
        <w:rPr>
          <w:rFonts w:ascii="Arial" w:hAnsi="Arial" w:cs="Arial"/>
        </w:rPr>
        <w:t>UK Housing Price Index England</w:t>
      </w:r>
      <w:r w:rsidR="00FD1C0F" w:rsidRPr="00E810AA">
        <w:rPr>
          <w:rFonts w:ascii="Arial" w:hAnsi="Arial" w:cs="Arial"/>
        </w:rPr>
        <w:t xml:space="preserve"> –</w:t>
      </w:r>
      <w:r w:rsidR="00EA678E">
        <w:rPr>
          <w:rFonts w:ascii="Arial" w:hAnsi="Arial" w:cs="Arial"/>
        </w:rPr>
        <w:t xml:space="preserve"> </w:t>
      </w:r>
      <w:r>
        <w:rPr>
          <w:rFonts w:ascii="Arial" w:hAnsi="Arial" w:cs="Arial"/>
        </w:rPr>
        <w:t>November 2025</w:t>
      </w:r>
      <w:r w:rsidR="00DA5343" w:rsidRPr="00E810AA">
        <w:rPr>
          <w:rFonts w:ascii="Arial" w:hAnsi="Arial" w:cs="Arial"/>
        </w:rPr>
        <w:t xml:space="preserve"> (published by HM Land Registry)</w:t>
      </w:r>
      <w:r w:rsidR="00DA5343" w:rsidRPr="00E810AA">
        <w:rPr>
          <w:rStyle w:val="FootnoteReference"/>
          <w:rFonts w:ascii="Arial" w:hAnsi="Arial" w:cs="Arial"/>
        </w:rPr>
        <w:footnoteReference w:id="7"/>
      </w:r>
      <w:r w:rsidR="00DA5343" w:rsidRPr="00E810AA">
        <w:rPr>
          <w:rFonts w:ascii="Arial" w:hAnsi="Arial" w:cs="Arial"/>
        </w:rPr>
        <w:t xml:space="preserve"> has indicated that Burnley, Pendle and Hyndburn are </w:t>
      </w:r>
      <w:r>
        <w:rPr>
          <w:rFonts w:ascii="Arial" w:hAnsi="Arial" w:cs="Arial"/>
        </w:rPr>
        <w:t xml:space="preserve">still </w:t>
      </w:r>
      <w:r w:rsidR="00DA5343" w:rsidRPr="00E810AA">
        <w:rPr>
          <w:rFonts w:ascii="Arial" w:hAnsi="Arial" w:cs="Arial"/>
        </w:rPr>
        <w:t>the three local authority areas with the lowest house prices out of a total of 317 local authority areas in Englan</w:t>
      </w:r>
      <w:r>
        <w:rPr>
          <w:rFonts w:ascii="Arial" w:hAnsi="Arial" w:cs="Arial"/>
        </w:rPr>
        <w:t>d</w:t>
      </w:r>
      <w:r w:rsidR="00DA5343" w:rsidRPr="00E810AA">
        <w:rPr>
          <w:rFonts w:ascii="Arial" w:hAnsi="Arial" w:cs="Arial"/>
        </w:rPr>
        <w:t xml:space="preserve">. </w:t>
      </w:r>
      <w:r w:rsidR="00DB1781">
        <w:rPr>
          <w:rFonts w:ascii="Arial" w:hAnsi="Arial" w:cs="Arial"/>
        </w:rPr>
        <w:t xml:space="preserve"> </w:t>
      </w:r>
    </w:p>
    <w:p w14:paraId="2531930C" w14:textId="77777777" w:rsidR="00851D05" w:rsidRPr="00851D05" w:rsidRDefault="00851D05" w:rsidP="00851D05">
      <w:pPr>
        <w:pStyle w:val="ListParagraph"/>
        <w:rPr>
          <w:rFonts w:ascii="Arial" w:hAnsi="Arial" w:cs="Arial"/>
        </w:rPr>
      </w:pPr>
    </w:p>
    <w:p w14:paraId="25228B18" w14:textId="06493AA7" w:rsidR="00D77948" w:rsidRPr="00851D05" w:rsidRDefault="00851D05" w:rsidP="00851D05">
      <w:pPr>
        <w:pStyle w:val="Caption"/>
        <w:ind w:left="709" w:firstLine="11"/>
        <w:rPr>
          <w:rFonts w:ascii="Arial" w:hAnsi="Arial" w:cs="Arial"/>
          <w:b/>
          <w:bCs/>
          <w:i w:val="0"/>
          <w:iCs w:val="0"/>
          <w:color w:val="auto"/>
          <w:sz w:val="22"/>
          <w:szCs w:val="22"/>
        </w:rPr>
      </w:pPr>
      <w:r w:rsidRPr="00851D05">
        <w:rPr>
          <w:rFonts w:ascii="Arial" w:hAnsi="Arial" w:cs="Arial"/>
          <w:b/>
          <w:bCs/>
          <w:i w:val="0"/>
          <w:iCs w:val="0"/>
          <w:color w:val="auto"/>
          <w:sz w:val="22"/>
          <w:szCs w:val="22"/>
        </w:rPr>
        <w:t>Table 3 - Median House Prices to Earnings – from the ONS published 25</w:t>
      </w:r>
      <w:r w:rsidRPr="00851D05">
        <w:rPr>
          <w:rFonts w:ascii="Arial" w:hAnsi="Arial" w:cs="Arial"/>
          <w:b/>
          <w:bCs/>
          <w:i w:val="0"/>
          <w:iCs w:val="0"/>
          <w:color w:val="auto"/>
          <w:sz w:val="22"/>
          <w:szCs w:val="22"/>
          <w:vertAlign w:val="superscript"/>
        </w:rPr>
        <w:t>th</w:t>
      </w:r>
      <w:r w:rsidRPr="00851D05">
        <w:rPr>
          <w:rFonts w:ascii="Arial" w:hAnsi="Arial" w:cs="Arial"/>
          <w:b/>
          <w:bCs/>
          <w:i w:val="0"/>
          <w:iCs w:val="0"/>
          <w:color w:val="auto"/>
          <w:sz w:val="22"/>
          <w:szCs w:val="22"/>
        </w:rPr>
        <w:t xml:space="preserve"> March 2025</w:t>
      </w:r>
    </w:p>
    <w:tbl>
      <w:tblPr>
        <w:tblStyle w:val="TableGrid"/>
        <w:tblW w:w="0" w:type="auto"/>
        <w:tblInd w:w="709" w:type="dxa"/>
        <w:tblLook w:val="04A0" w:firstRow="1" w:lastRow="0" w:firstColumn="1" w:lastColumn="0" w:noHBand="0" w:noVBand="1"/>
      </w:tblPr>
      <w:tblGrid>
        <w:gridCol w:w="1773"/>
        <w:gridCol w:w="1312"/>
        <w:gridCol w:w="1546"/>
        <w:gridCol w:w="1566"/>
        <w:gridCol w:w="1736"/>
      </w:tblGrid>
      <w:tr w:rsidR="00451DAC" w14:paraId="538FF284" w14:textId="77777777" w:rsidTr="00EF41E0">
        <w:tc>
          <w:tcPr>
            <w:tcW w:w="1773" w:type="dxa"/>
            <w:shd w:val="clear" w:color="auto" w:fill="7030A0"/>
          </w:tcPr>
          <w:p w14:paraId="6F367C72" w14:textId="09F0823E" w:rsidR="00451DAC" w:rsidRPr="00EF41E0" w:rsidRDefault="00451DAC" w:rsidP="00266A1B">
            <w:pPr>
              <w:pStyle w:val="ListParagraph"/>
              <w:spacing w:line="300" w:lineRule="atLeast"/>
              <w:ind w:left="0"/>
              <w:contextualSpacing w:val="0"/>
              <w:rPr>
                <w:rFonts w:ascii="Arial" w:hAnsi="Arial" w:cs="Arial"/>
                <w:b/>
                <w:bCs/>
                <w:color w:val="FFFFFF" w:themeColor="background1"/>
              </w:rPr>
            </w:pPr>
            <w:r w:rsidRPr="00EF41E0">
              <w:rPr>
                <w:rFonts w:ascii="Arial" w:hAnsi="Arial" w:cs="Arial"/>
                <w:b/>
                <w:bCs/>
                <w:color w:val="FFFFFF" w:themeColor="background1"/>
              </w:rPr>
              <w:t>Local Authority</w:t>
            </w:r>
          </w:p>
        </w:tc>
        <w:tc>
          <w:tcPr>
            <w:tcW w:w="1312" w:type="dxa"/>
            <w:shd w:val="clear" w:color="auto" w:fill="7030A0"/>
          </w:tcPr>
          <w:p w14:paraId="1851085E" w14:textId="56D0BDF1" w:rsidR="00451DAC" w:rsidRPr="00EF41E0" w:rsidRDefault="00451DAC" w:rsidP="00266A1B">
            <w:pPr>
              <w:pStyle w:val="ListParagraph"/>
              <w:spacing w:line="300" w:lineRule="atLeast"/>
              <w:ind w:left="0"/>
              <w:contextualSpacing w:val="0"/>
              <w:rPr>
                <w:rFonts w:ascii="Arial" w:hAnsi="Arial" w:cs="Arial"/>
                <w:b/>
                <w:bCs/>
                <w:color w:val="FFFFFF" w:themeColor="background1"/>
              </w:rPr>
            </w:pPr>
            <w:r w:rsidRPr="00EF41E0">
              <w:rPr>
                <w:rFonts w:ascii="Arial" w:hAnsi="Arial" w:cs="Arial"/>
                <w:b/>
                <w:bCs/>
                <w:color w:val="FFFFFF" w:themeColor="background1"/>
              </w:rPr>
              <w:t>Average Property Price (all types)</w:t>
            </w:r>
          </w:p>
        </w:tc>
        <w:tc>
          <w:tcPr>
            <w:tcW w:w="1546" w:type="dxa"/>
            <w:shd w:val="clear" w:color="auto" w:fill="7030A0"/>
          </w:tcPr>
          <w:p w14:paraId="2EC3DA96" w14:textId="34B1EA2C" w:rsidR="00451DAC" w:rsidRPr="00EF41E0" w:rsidRDefault="00451DAC" w:rsidP="00266A1B">
            <w:pPr>
              <w:pStyle w:val="ListParagraph"/>
              <w:spacing w:line="300" w:lineRule="atLeast"/>
              <w:ind w:left="0"/>
              <w:contextualSpacing w:val="0"/>
              <w:rPr>
                <w:rFonts w:ascii="Arial" w:hAnsi="Arial" w:cs="Arial"/>
                <w:b/>
                <w:bCs/>
                <w:color w:val="FFFFFF" w:themeColor="background1"/>
              </w:rPr>
            </w:pPr>
            <w:r w:rsidRPr="00EF41E0">
              <w:rPr>
                <w:rFonts w:ascii="Arial" w:hAnsi="Arial" w:cs="Arial"/>
                <w:b/>
                <w:bCs/>
                <w:color w:val="FFFFFF" w:themeColor="background1"/>
              </w:rPr>
              <w:t>Mean Property Price</w:t>
            </w:r>
          </w:p>
        </w:tc>
        <w:tc>
          <w:tcPr>
            <w:tcW w:w="1566" w:type="dxa"/>
            <w:shd w:val="clear" w:color="auto" w:fill="7030A0"/>
          </w:tcPr>
          <w:p w14:paraId="7EC976CC" w14:textId="34ED729A" w:rsidR="00451DAC" w:rsidRPr="00EF41E0" w:rsidRDefault="00451DAC" w:rsidP="00266A1B">
            <w:pPr>
              <w:pStyle w:val="ListParagraph"/>
              <w:spacing w:line="300" w:lineRule="atLeast"/>
              <w:ind w:left="0"/>
              <w:contextualSpacing w:val="0"/>
              <w:rPr>
                <w:rFonts w:ascii="Arial" w:hAnsi="Arial" w:cs="Arial"/>
                <w:b/>
                <w:bCs/>
                <w:color w:val="FFFFFF" w:themeColor="background1"/>
              </w:rPr>
            </w:pPr>
            <w:r w:rsidRPr="00EF41E0">
              <w:rPr>
                <w:rFonts w:ascii="Arial" w:hAnsi="Arial" w:cs="Arial"/>
                <w:b/>
                <w:bCs/>
                <w:color w:val="FFFFFF" w:themeColor="background1"/>
              </w:rPr>
              <w:t>Average yearly Wage</w:t>
            </w:r>
          </w:p>
        </w:tc>
        <w:tc>
          <w:tcPr>
            <w:tcW w:w="1736" w:type="dxa"/>
            <w:shd w:val="clear" w:color="auto" w:fill="7030A0"/>
          </w:tcPr>
          <w:p w14:paraId="77BAC7CD" w14:textId="1C22D170" w:rsidR="00451DAC" w:rsidRPr="00EF41E0" w:rsidRDefault="00451DAC" w:rsidP="00266A1B">
            <w:pPr>
              <w:pStyle w:val="ListParagraph"/>
              <w:spacing w:line="300" w:lineRule="atLeast"/>
              <w:ind w:left="0"/>
              <w:contextualSpacing w:val="0"/>
              <w:rPr>
                <w:rFonts w:ascii="Arial" w:hAnsi="Arial" w:cs="Arial"/>
                <w:b/>
                <w:bCs/>
                <w:color w:val="FFFFFF" w:themeColor="background1"/>
              </w:rPr>
            </w:pPr>
            <w:r w:rsidRPr="00EF41E0">
              <w:rPr>
                <w:rFonts w:ascii="Arial" w:hAnsi="Arial" w:cs="Arial"/>
                <w:b/>
                <w:bCs/>
                <w:color w:val="FFFFFF" w:themeColor="background1"/>
              </w:rPr>
              <w:t>Affordability Ratio</w:t>
            </w:r>
          </w:p>
        </w:tc>
      </w:tr>
      <w:tr w:rsidR="00451DAC" w14:paraId="3883AA95" w14:textId="77777777" w:rsidTr="00EF41E0">
        <w:tc>
          <w:tcPr>
            <w:tcW w:w="1773" w:type="dxa"/>
          </w:tcPr>
          <w:p w14:paraId="078A6911" w14:textId="13986C7F" w:rsidR="00451DAC" w:rsidRDefault="00451DAC" w:rsidP="00266A1B">
            <w:pPr>
              <w:pStyle w:val="ListParagraph"/>
              <w:spacing w:line="300" w:lineRule="atLeast"/>
              <w:ind w:left="0"/>
              <w:contextualSpacing w:val="0"/>
              <w:rPr>
                <w:rFonts w:ascii="Arial" w:hAnsi="Arial" w:cs="Arial"/>
              </w:rPr>
            </w:pPr>
            <w:r>
              <w:rPr>
                <w:rFonts w:ascii="Arial" w:hAnsi="Arial" w:cs="Arial"/>
              </w:rPr>
              <w:t>Blackburn With Darwin</w:t>
            </w:r>
          </w:p>
        </w:tc>
        <w:tc>
          <w:tcPr>
            <w:tcW w:w="1312" w:type="dxa"/>
          </w:tcPr>
          <w:p w14:paraId="63ED7403" w14:textId="02DBCE53" w:rsidR="00451DAC" w:rsidRDefault="00451DAC" w:rsidP="00266A1B">
            <w:pPr>
              <w:pStyle w:val="ListParagraph"/>
              <w:spacing w:line="300" w:lineRule="atLeast"/>
              <w:ind w:left="0"/>
              <w:contextualSpacing w:val="0"/>
              <w:rPr>
                <w:rFonts w:ascii="Arial" w:hAnsi="Arial" w:cs="Arial"/>
              </w:rPr>
            </w:pPr>
            <w:r>
              <w:rPr>
                <w:rFonts w:ascii="Arial" w:hAnsi="Arial" w:cs="Arial"/>
              </w:rPr>
              <w:t>£165,506</w:t>
            </w:r>
          </w:p>
        </w:tc>
        <w:tc>
          <w:tcPr>
            <w:tcW w:w="1546" w:type="dxa"/>
          </w:tcPr>
          <w:p w14:paraId="28451D67" w14:textId="28716284" w:rsidR="00451DAC" w:rsidRDefault="00451DAC" w:rsidP="00266A1B">
            <w:pPr>
              <w:pStyle w:val="ListParagraph"/>
              <w:spacing w:line="300" w:lineRule="atLeast"/>
              <w:ind w:left="0"/>
              <w:contextualSpacing w:val="0"/>
              <w:rPr>
                <w:rFonts w:ascii="Arial" w:hAnsi="Arial" w:cs="Arial"/>
              </w:rPr>
            </w:pPr>
            <w:r>
              <w:rPr>
                <w:rFonts w:ascii="Arial" w:hAnsi="Arial" w:cs="Arial"/>
              </w:rPr>
              <w:t>£143,500</w:t>
            </w:r>
          </w:p>
        </w:tc>
        <w:tc>
          <w:tcPr>
            <w:tcW w:w="1566" w:type="dxa"/>
          </w:tcPr>
          <w:p w14:paraId="430168F4" w14:textId="23797D9E" w:rsidR="00451DAC" w:rsidRDefault="00451DAC" w:rsidP="00266A1B">
            <w:pPr>
              <w:pStyle w:val="ListParagraph"/>
              <w:spacing w:line="300" w:lineRule="atLeast"/>
              <w:ind w:left="0"/>
              <w:contextualSpacing w:val="0"/>
              <w:rPr>
                <w:rFonts w:ascii="Arial" w:hAnsi="Arial" w:cs="Arial"/>
              </w:rPr>
            </w:pPr>
            <w:r>
              <w:rPr>
                <w:rFonts w:ascii="Arial" w:hAnsi="Arial" w:cs="Arial"/>
              </w:rPr>
              <w:t>£26,190</w:t>
            </w:r>
          </w:p>
        </w:tc>
        <w:tc>
          <w:tcPr>
            <w:tcW w:w="1736" w:type="dxa"/>
          </w:tcPr>
          <w:p w14:paraId="278871D4" w14:textId="11DF6A65" w:rsidR="00451DAC" w:rsidRDefault="00451DAC" w:rsidP="00266A1B">
            <w:pPr>
              <w:pStyle w:val="ListParagraph"/>
              <w:spacing w:line="300" w:lineRule="atLeast"/>
              <w:ind w:left="0"/>
              <w:contextualSpacing w:val="0"/>
              <w:rPr>
                <w:rFonts w:ascii="Arial" w:hAnsi="Arial" w:cs="Arial"/>
              </w:rPr>
            </w:pPr>
            <w:r>
              <w:rPr>
                <w:rFonts w:ascii="Arial" w:hAnsi="Arial" w:cs="Arial"/>
              </w:rPr>
              <w:t>3.4</w:t>
            </w:r>
          </w:p>
        </w:tc>
      </w:tr>
      <w:tr w:rsidR="00451DAC" w14:paraId="3E2A6C38" w14:textId="77777777" w:rsidTr="00EF41E0">
        <w:tc>
          <w:tcPr>
            <w:tcW w:w="1773" w:type="dxa"/>
          </w:tcPr>
          <w:p w14:paraId="2E33E46E" w14:textId="7FD72172" w:rsidR="00451DAC" w:rsidRDefault="00451DAC" w:rsidP="00266A1B">
            <w:pPr>
              <w:pStyle w:val="ListParagraph"/>
              <w:spacing w:line="300" w:lineRule="atLeast"/>
              <w:ind w:left="0"/>
              <w:contextualSpacing w:val="0"/>
              <w:rPr>
                <w:rFonts w:ascii="Arial" w:hAnsi="Arial" w:cs="Arial"/>
              </w:rPr>
            </w:pPr>
            <w:r>
              <w:rPr>
                <w:rFonts w:ascii="Arial" w:hAnsi="Arial" w:cs="Arial"/>
              </w:rPr>
              <w:t>Burnley</w:t>
            </w:r>
          </w:p>
        </w:tc>
        <w:tc>
          <w:tcPr>
            <w:tcW w:w="1312" w:type="dxa"/>
          </w:tcPr>
          <w:p w14:paraId="17CF22AF" w14:textId="04DC62C2" w:rsidR="00451DAC" w:rsidRDefault="00451DAC" w:rsidP="00266A1B">
            <w:pPr>
              <w:pStyle w:val="ListParagraph"/>
              <w:spacing w:line="300" w:lineRule="atLeast"/>
              <w:ind w:left="0"/>
              <w:contextualSpacing w:val="0"/>
              <w:rPr>
                <w:rFonts w:ascii="Arial" w:hAnsi="Arial" w:cs="Arial"/>
              </w:rPr>
            </w:pPr>
            <w:r>
              <w:rPr>
                <w:rFonts w:ascii="Arial" w:hAnsi="Arial" w:cs="Arial"/>
              </w:rPr>
              <w:t>£128,106</w:t>
            </w:r>
          </w:p>
        </w:tc>
        <w:tc>
          <w:tcPr>
            <w:tcW w:w="1546" w:type="dxa"/>
          </w:tcPr>
          <w:p w14:paraId="6AB2AFC1" w14:textId="4B4528A9" w:rsidR="00451DAC" w:rsidRDefault="00451DAC" w:rsidP="00266A1B">
            <w:pPr>
              <w:pStyle w:val="ListParagraph"/>
              <w:spacing w:line="300" w:lineRule="atLeast"/>
              <w:ind w:left="0"/>
              <w:contextualSpacing w:val="0"/>
              <w:rPr>
                <w:rFonts w:ascii="Arial" w:hAnsi="Arial" w:cs="Arial"/>
              </w:rPr>
            </w:pPr>
            <w:r>
              <w:rPr>
                <w:rFonts w:ascii="Arial" w:hAnsi="Arial" w:cs="Arial"/>
              </w:rPr>
              <w:t>£116,000</w:t>
            </w:r>
          </w:p>
        </w:tc>
        <w:tc>
          <w:tcPr>
            <w:tcW w:w="1566" w:type="dxa"/>
          </w:tcPr>
          <w:p w14:paraId="0CAC2D26" w14:textId="02868E4E" w:rsidR="00451DAC" w:rsidRDefault="00451DAC" w:rsidP="00266A1B">
            <w:pPr>
              <w:pStyle w:val="ListParagraph"/>
              <w:spacing w:line="300" w:lineRule="atLeast"/>
              <w:ind w:left="0"/>
              <w:contextualSpacing w:val="0"/>
              <w:rPr>
                <w:rFonts w:ascii="Arial" w:hAnsi="Arial" w:cs="Arial"/>
              </w:rPr>
            </w:pPr>
            <w:r>
              <w:rPr>
                <w:rFonts w:ascii="Arial" w:hAnsi="Arial" w:cs="Arial"/>
              </w:rPr>
              <w:t>£23,999</w:t>
            </w:r>
          </w:p>
        </w:tc>
        <w:tc>
          <w:tcPr>
            <w:tcW w:w="1736" w:type="dxa"/>
          </w:tcPr>
          <w:p w14:paraId="00725B6F" w14:textId="28241E53" w:rsidR="00451DAC" w:rsidRDefault="00451DAC" w:rsidP="00266A1B">
            <w:pPr>
              <w:pStyle w:val="ListParagraph"/>
              <w:spacing w:line="300" w:lineRule="atLeast"/>
              <w:ind w:left="0"/>
              <w:contextualSpacing w:val="0"/>
              <w:rPr>
                <w:rFonts w:ascii="Arial" w:hAnsi="Arial" w:cs="Arial"/>
              </w:rPr>
            </w:pPr>
            <w:r>
              <w:rPr>
                <w:rFonts w:ascii="Arial" w:hAnsi="Arial" w:cs="Arial"/>
              </w:rPr>
              <w:t>3.0</w:t>
            </w:r>
          </w:p>
        </w:tc>
      </w:tr>
      <w:tr w:rsidR="00451DAC" w14:paraId="1FEA87BC" w14:textId="77777777" w:rsidTr="00EF41E0">
        <w:tc>
          <w:tcPr>
            <w:tcW w:w="1773" w:type="dxa"/>
          </w:tcPr>
          <w:p w14:paraId="7C867157" w14:textId="717AC2B3" w:rsidR="00451DAC" w:rsidRPr="00266A1B" w:rsidRDefault="00451DAC" w:rsidP="00266A1B">
            <w:pPr>
              <w:pStyle w:val="ListParagraph"/>
              <w:spacing w:line="300" w:lineRule="atLeast"/>
              <w:ind w:left="0"/>
              <w:contextualSpacing w:val="0"/>
              <w:rPr>
                <w:rFonts w:ascii="Arial" w:hAnsi="Arial" w:cs="Arial"/>
                <w:b/>
                <w:bCs/>
              </w:rPr>
            </w:pPr>
            <w:r w:rsidRPr="00266A1B">
              <w:rPr>
                <w:rFonts w:ascii="Arial" w:hAnsi="Arial" w:cs="Arial"/>
                <w:b/>
                <w:bCs/>
              </w:rPr>
              <w:t>Hyndburn</w:t>
            </w:r>
          </w:p>
        </w:tc>
        <w:tc>
          <w:tcPr>
            <w:tcW w:w="1312" w:type="dxa"/>
          </w:tcPr>
          <w:p w14:paraId="4CB70978" w14:textId="55BD8AE2" w:rsidR="00451DAC" w:rsidRPr="00451DAC" w:rsidRDefault="00451DAC" w:rsidP="00266A1B">
            <w:pPr>
              <w:pStyle w:val="ListParagraph"/>
              <w:spacing w:line="300" w:lineRule="atLeast"/>
              <w:ind w:left="0"/>
              <w:contextualSpacing w:val="0"/>
              <w:rPr>
                <w:rFonts w:ascii="Arial" w:hAnsi="Arial" w:cs="Arial"/>
                <w:b/>
                <w:bCs/>
              </w:rPr>
            </w:pPr>
            <w:r w:rsidRPr="00451DAC">
              <w:rPr>
                <w:rFonts w:ascii="Arial" w:hAnsi="Arial" w:cs="Arial"/>
                <w:b/>
                <w:bCs/>
              </w:rPr>
              <w:t>£132,148</w:t>
            </w:r>
          </w:p>
        </w:tc>
        <w:tc>
          <w:tcPr>
            <w:tcW w:w="1546" w:type="dxa"/>
          </w:tcPr>
          <w:p w14:paraId="74951B33" w14:textId="269E079D" w:rsidR="00451DAC" w:rsidRPr="00451DAC" w:rsidRDefault="00451DAC" w:rsidP="00266A1B">
            <w:pPr>
              <w:pStyle w:val="ListParagraph"/>
              <w:spacing w:line="300" w:lineRule="atLeast"/>
              <w:ind w:left="0"/>
              <w:contextualSpacing w:val="0"/>
              <w:rPr>
                <w:rFonts w:ascii="Arial" w:hAnsi="Arial" w:cs="Arial"/>
                <w:b/>
                <w:bCs/>
              </w:rPr>
            </w:pPr>
            <w:r w:rsidRPr="00451DAC">
              <w:rPr>
                <w:rFonts w:ascii="Arial" w:hAnsi="Arial" w:cs="Arial"/>
                <w:b/>
                <w:bCs/>
              </w:rPr>
              <w:t>£130,000</w:t>
            </w:r>
          </w:p>
        </w:tc>
        <w:tc>
          <w:tcPr>
            <w:tcW w:w="1566" w:type="dxa"/>
          </w:tcPr>
          <w:p w14:paraId="4E830975" w14:textId="4A097C83" w:rsidR="00451DAC" w:rsidRPr="00451DAC" w:rsidRDefault="00451DAC" w:rsidP="00266A1B">
            <w:pPr>
              <w:pStyle w:val="ListParagraph"/>
              <w:spacing w:line="300" w:lineRule="atLeast"/>
              <w:ind w:left="0"/>
              <w:contextualSpacing w:val="0"/>
              <w:rPr>
                <w:rFonts w:ascii="Arial" w:hAnsi="Arial" w:cs="Arial"/>
                <w:b/>
                <w:bCs/>
              </w:rPr>
            </w:pPr>
            <w:r>
              <w:rPr>
                <w:rFonts w:ascii="Arial" w:hAnsi="Arial" w:cs="Arial"/>
                <w:b/>
                <w:bCs/>
              </w:rPr>
              <w:t>£26,541</w:t>
            </w:r>
          </w:p>
        </w:tc>
        <w:tc>
          <w:tcPr>
            <w:tcW w:w="1736" w:type="dxa"/>
          </w:tcPr>
          <w:p w14:paraId="24F32BF8" w14:textId="444CB9DC" w:rsidR="00451DAC" w:rsidRPr="00451DAC" w:rsidRDefault="00451DAC" w:rsidP="00266A1B">
            <w:pPr>
              <w:pStyle w:val="ListParagraph"/>
              <w:spacing w:line="300" w:lineRule="atLeast"/>
              <w:ind w:left="0"/>
              <w:contextualSpacing w:val="0"/>
              <w:rPr>
                <w:rFonts w:ascii="Arial" w:hAnsi="Arial" w:cs="Arial"/>
                <w:b/>
                <w:bCs/>
              </w:rPr>
            </w:pPr>
            <w:r w:rsidRPr="00451DAC">
              <w:rPr>
                <w:rFonts w:ascii="Arial" w:hAnsi="Arial" w:cs="Arial"/>
                <w:b/>
                <w:bCs/>
              </w:rPr>
              <w:t>3.4</w:t>
            </w:r>
          </w:p>
        </w:tc>
      </w:tr>
      <w:tr w:rsidR="00451DAC" w14:paraId="6DC019F2" w14:textId="77777777" w:rsidTr="00EF41E0">
        <w:tc>
          <w:tcPr>
            <w:tcW w:w="1773" w:type="dxa"/>
          </w:tcPr>
          <w:p w14:paraId="03660B72" w14:textId="242775BD" w:rsidR="00451DAC" w:rsidRDefault="00451DAC" w:rsidP="00266A1B">
            <w:pPr>
              <w:pStyle w:val="ListParagraph"/>
              <w:spacing w:line="300" w:lineRule="atLeast"/>
              <w:ind w:left="0"/>
              <w:contextualSpacing w:val="0"/>
              <w:rPr>
                <w:rFonts w:ascii="Arial" w:hAnsi="Arial" w:cs="Arial"/>
              </w:rPr>
            </w:pPr>
            <w:r>
              <w:rPr>
                <w:rFonts w:ascii="Arial" w:hAnsi="Arial" w:cs="Arial"/>
              </w:rPr>
              <w:t>Pendle</w:t>
            </w:r>
          </w:p>
        </w:tc>
        <w:tc>
          <w:tcPr>
            <w:tcW w:w="1312" w:type="dxa"/>
          </w:tcPr>
          <w:p w14:paraId="7CD1C736" w14:textId="766EB2C3" w:rsidR="00451DAC" w:rsidRDefault="00451DAC" w:rsidP="00266A1B">
            <w:pPr>
              <w:pStyle w:val="ListParagraph"/>
              <w:spacing w:line="300" w:lineRule="atLeast"/>
              <w:ind w:left="0"/>
              <w:contextualSpacing w:val="0"/>
              <w:rPr>
                <w:rFonts w:ascii="Arial" w:hAnsi="Arial" w:cs="Arial"/>
              </w:rPr>
            </w:pPr>
            <w:r>
              <w:rPr>
                <w:rFonts w:ascii="Arial" w:hAnsi="Arial" w:cs="Arial"/>
              </w:rPr>
              <w:t>£144,532</w:t>
            </w:r>
          </w:p>
        </w:tc>
        <w:tc>
          <w:tcPr>
            <w:tcW w:w="1546" w:type="dxa"/>
          </w:tcPr>
          <w:p w14:paraId="42837B64" w14:textId="6A9BA26A" w:rsidR="00451DAC" w:rsidRDefault="00451DAC" w:rsidP="00266A1B">
            <w:pPr>
              <w:pStyle w:val="ListParagraph"/>
              <w:spacing w:line="300" w:lineRule="atLeast"/>
              <w:ind w:left="0"/>
              <w:contextualSpacing w:val="0"/>
              <w:rPr>
                <w:rFonts w:ascii="Arial" w:hAnsi="Arial" w:cs="Arial"/>
              </w:rPr>
            </w:pPr>
            <w:r>
              <w:rPr>
                <w:rFonts w:ascii="Arial" w:hAnsi="Arial" w:cs="Arial"/>
              </w:rPr>
              <w:t>£135,000</w:t>
            </w:r>
          </w:p>
        </w:tc>
        <w:tc>
          <w:tcPr>
            <w:tcW w:w="1566" w:type="dxa"/>
          </w:tcPr>
          <w:p w14:paraId="1316B70C" w14:textId="2765A1B6" w:rsidR="00451DAC" w:rsidRDefault="00451DAC" w:rsidP="00266A1B">
            <w:pPr>
              <w:pStyle w:val="ListParagraph"/>
              <w:spacing w:line="300" w:lineRule="atLeast"/>
              <w:ind w:left="0"/>
              <w:contextualSpacing w:val="0"/>
              <w:rPr>
                <w:rFonts w:ascii="Arial" w:hAnsi="Arial" w:cs="Arial"/>
              </w:rPr>
            </w:pPr>
            <w:r>
              <w:rPr>
                <w:rFonts w:ascii="Arial" w:hAnsi="Arial" w:cs="Arial"/>
              </w:rPr>
              <w:t>£23,977</w:t>
            </w:r>
          </w:p>
        </w:tc>
        <w:tc>
          <w:tcPr>
            <w:tcW w:w="1736" w:type="dxa"/>
          </w:tcPr>
          <w:p w14:paraId="16D468AB" w14:textId="140EB3DC" w:rsidR="00451DAC" w:rsidRDefault="00451DAC" w:rsidP="00266A1B">
            <w:pPr>
              <w:pStyle w:val="ListParagraph"/>
              <w:spacing w:line="300" w:lineRule="atLeast"/>
              <w:ind w:left="0"/>
              <w:contextualSpacing w:val="0"/>
              <w:rPr>
                <w:rFonts w:ascii="Arial" w:hAnsi="Arial" w:cs="Arial"/>
              </w:rPr>
            </w:pPr>
            <w:r>
              <w:rPr>
                <w:rFonts w:ascii="Arial" w:hAnsi="Arial" w:cs="Arial"/>
              </w:rPr>
              <w:t>3.7</w:t>
            </w:r>
          </w:p>
        </w:tc>
      </w:tr>
      <w:tr w:rsidR="00451DAC" w14:paraId="0B15C370" w14:textId="77777777" w:rsidTr="00EF41E0">
        <w:tc>
          <w:tcPr>
            <w:tcW w:w="1773" w:type="dxa"/>
          </w:tcPr>
          <w:p w14:paraId="7DB05118" w14:textId="24E924D0" w:rsidR="00451DAC" w:rsidRDefault="00451DAC" w:rsidP="00266A1B">
            <w:pPr>
              <w:pStyle w:val="ListParagraph"/>
              <w:spacing w:line="300" w:lineRule="atLeast"/>
              <w:ind w:left="0"/>
              <w:contextualSpacing w:val="0"/>
              <w:rPr>
                <w:rFonts w:ascii="Arial" w:hAnsi="Arial" w:cs="Arial"/>
              </w:rPr>
            </w:pPr>
            <w:r>
              <w:rPr>
                <w:rFonts w:ascii="Arial" w:hAnsi="Arial" w:cs="Arial"/>
              </w:rPr>
              <w:t>Ribble Valley</w:t>
            </w:r>
          </w:p>
        </w:tc>
        <w:tc>
          <w:tcPr>
            <w:tcW w:w="1312" w:type="dxa"/>
          </w:tcPr>
          <w:p w14:paraId="70241368" w14:textId="7FD9AE81" w:rsidR="00451DAC" w:rsidRDefault="00451DAC" w:rsidP="00266A1B">
            <w:pPr>
              <w:pStyle w:val="ListParagraph"/>
              <w:spacing w:line="300" w:lineRule="atLeast"/>
              <w:ind w:left="0"/>
              <w:contextualSpacing w:val="0"/>
              <w:rPr>
                <w:rFonts w:ascii="Arial" w:hAnsi="Arial" w:cs="Arial"/>
              </w:rPr>
            </w:pPr>
            <w:r>
              <w:rPr>
                <w:rFonts w:ascii="Arial" w:hAnsi="Arial" w:cs="Arial"/>
              </w:rPr>
              <w:t>£279,634</w:t>
            </w:r>
          </w:p>
        </w:tc>
        <w:tc>
          <w:tcPr>
            <w:tcW w:w="1546" w:type="dxa"/>
          </w:tcPr>
          <w:p w14:paraId="26187322" w14:textId="3EE7B98A" w:rsidR="00451DAC" w:rsidRDefault="00451DAC" w:rsidP="00266A1B">
            <w:pPr>
              <w:pStyle w:val="ListParagraph"/>
              <w:spacing w:line="300" w:lineRule="atLeast"/>
              <w:ind w:left="0"/>
              <w:contextualSpacing w:val="0"/>
              <w:rPr>
                <w:rFonts w:ascii="Arial" w:hAnsi="Arial" w:cs="Arial"/>
              </w:rPr>
            </w:pPr>
            <w:r>
              <w:rPr>
                <w:rFonts w:ascii="Arial" w:hAnsi="Arial" w:cs="Arial"/>
              </w:rPr>
              <w:t>£260,000</w:t>
            </w:r>
          </w:p>
        </w:tc>
        <w:tc>
          <w:tcPr>
            <w:tcW w:w="1566" w:type="dxa"/>
          </w:tcPr>
          <w:p w14:paraId="6183922E" w14:textId="002C463D" w:rsidR="00451DAC" w:rsidRDefault="00451DAC" w:rsidP="00266A1B">
            <w:pPr>
              <w:pStyle w:val="ListParagraph"/>
              <w:spacing w:line="300" w:lineRule="atLeast"/>
              <w:ind w:left="0"/>
              <w:contextualSpacing w:val="0"/>
              <w:rPr>
                <w:rFonts w:ascii="Arial" w:hAnsi="Arial" w:cs="Arial"/>
              </w:rPr>
            </w:pPr>
            <w:r>
              <w:rPr>
                <w:rFonts w:ascii="Arial" w:hAnsi="Arial" w:cs="Arial"/>
              </w:rPr>
              <w:t>£29,196</w:t>
            </w:r>
          </w:p>
        </w:tc>
        <w:tc>
          <w:tcPr>
            <w:tcW w:w="1736" w:type="dxa"/>
          </w:tcPr>
          <w:p w14:paraId="33096934" w14:textId="6978FCB5" w:rsidR="00451DAC" w:rsidRDefault="00451DAC" w:rsidP="00266A1B">
            <w:pPr>
              <w:pStyle w:val="ListParagraph"/>
              <w:spacing w:line="300" w:lineRule="atLeast"/>
              <w:ind w:left="0"/>
              <w:contextualSpacing w:val="0"/>
              <w:rPr>
                <w:rFonts w:ascii="Arial" w:hAnsi="Arial" w:cs="Arial"/>
              </w:rPr>
            </w:pPr>
            <w:r>
              <w:rPr>
                <w:rFonts w:ascii="Arial" w:hAnsi="Arial" w:cs="Arial"/>
              </w:rPr>
              <w:t>6.0</w:t>
            </w:r>
          </w:p>
        </w:tc>
      </w:tr>
      <w:tr w:rsidR="00451DAC" w14:paraId="6161925E" w14:textId="77777777" w:rsidTr="00EF41E0">
        <w:tc>
          <w:tcPr>
            <w:tcW w:w="1773" w:type="dxa"/>
          </w:tcPr>
          <w:p w14:paraId="5CF76778" w14:textId="0C738F12" w:rsidR="00451DAC" w:rsidRDefault="00451DAC" w:rsidP="00266A1B">
            <w:pPr>
              <w:pStyle w:val="ListParagraph"/>
              <w:spacing w:line="300" w:lineRule="atLeast"/>
              <w:ind w:left="0"/>
              <w:contextualSpacing w:val="0"/>
              <w:rPr>
                <w:rFonts w:ascii="Arial" w:hAnsi="Arial" w:cs="Arial"/>
              </w:rPr>
            </w:pPr>
            <w:r>
              <w:rPr>
                <w:rFonts w:ascii="Arial" w:hAnsi="Arial" w:cs="Arial"/>
              </w:rPr>
              <w:t>Rossendale</w:t>
            </w:r>
          </w:p>
        </w:tc>
        <w:tc>
          <w:tcPr>
            <w:tcW w:w="1312" w:type="dxa"/>
          </w:tcPr>
          <w:p w14:paraId="1A4940E3" w14:textId="701C549A" w:rsidR="00451DAC" w:rsidRDefault="00451DAC" w:rsidP="00266A1B">
            <w:pPr>
              <w:pStyle w:val="ListParagraph"/>
              <w:spacing w:line="300" w:lineRule="atLeast"/>
              <w:ind w:left="0"/>
              <w:contextualSpacing w:val="0"/>
              <w:rPr>
                <w:rFonts w:ascii="Arial" w:hAnsi="Arial" w:cs="Arial"/>
              </w:rPr>
            </w:pPr>
            <w:r>
              <w:rPr>
                <w:rFonts w:ascii="Arial" w:hAnsi="Arial" w:cs="Arial"/>
              </w:rPr>
              <w:t>£187,791</w:t>
            </w:r>
          </w:p>
        </w:tc>
        <w:tc>
          <w:tcPr>
            <w:tcW w:w="1546" w:type="dxa"/>
          </w:tcPr>
          <w:p w14:paraId="57FE3F44" w14:textId="25C45683" w:rsidR="00451DAC" w:rsidRDefault="00451DAC" w:rsidP="00266A1B">
            <w:pPr>
              <w:pStyle w:val="ListParagraph"/>
              <w:spacing w:line="300" w:lineRule="atLeast"/>
              <w:ind w:left="0"/>
              <w:contextualSpacing w:val="0"/>
              <w:rPr>
                <w:rFonts w:ascii="Arial" w:hAnsi="Arial" w:cs="Arial"/>
              </w:rPr>
            </w:pPr>
            <w:r>
              <w:rPr>
                <w:rFonts w:ascii="Arial" w:hAnsi="Arial" w:cs="Arial"/>
              </w:rPr>
              <w:t>£175,000</w:t>
            </w:r>
          </w:p>
        </w:tc>
        <w:tc>
          <w:tcPr>
            <w:tcW w:w="1566" w:type="dxa"/>
          </w:tcPr>
          <w:p w14:paraId="025726DA" w14:textId="30375295" w:rsidR="00451DAC" w:rsidRDefault="00451DAC" w:rsidP="00266A1B">
            <w:pPr>
              <w:pStyle w:val="ListParagraph"/>
              <w:spacing w:line="300" w:lineRule="atLeast"/>
              <w:ind w:left="0"/>
              <w:contextualSpacing w:val="0"/>
              <w:rPr>
                <w:rFonts w:ascii="Arial" w:hAnsi="Arial" w:cs="Arial"/>
              </w:rPr>
            </w:pPr>
            <w:r>
              <w:rPr>
                <w:rFonts w:ascii="Arial" w:hAnsi="Arial" w:cs="Arial"/>
              </w:rPr>
              <w:t>£24,806</w:t>
            </w:r>
          </w:p>
        </w:tc>
        <w:tc>
          <w:tcPr>
            <w:tcW w:w="1736" w:type="dxa"/>
          </w:tcPr>
          <w:p w14:paraId="074AF339" w14:textId="0F8BD42B" w:rsidR="00451DAC" w:rsidRDefault="00451DAC" w:rsidP="00266A1B">
            <w:pPr>
              <w:pStyle w:val="ListParagraph"/>
              <w:spacing w:line="300" w:lineRule="atLeast"/>
              <w:ind w:left="0"/>
              <w:contextualSpacing w:val="0"/>
              <w:rPr>
                <w:rFonts w:ascii="Arial" w:hAnsi="Arial" w:cs="Arial"/>
              </w:rPr>
            </w:pPr>
            <w:r>
              <w:rPr>
                <w:rFonts w:ascii="Arial" w:hAnsi="Arial" w:cs="Arial"/>
              </w:rPr>
              <w:t>5.0</w:t>
            </w:r>
          </w:p>
        </w:tc>
      </w:tr>
      <w:tr w:rsidR="00451DAC" w14:paraId="2ADEAE53" w14:textId="77777777" w:rsidTr="00EF41E0">
        <w:tc>
          <w:tcPr>
            <w:tcW w:w="1773" w:type="dxa"/>
          </w:tcPr>
          <w:p w14:paraId="7D0FB44A" w14:textId="087BFD4B" w:rsidR="00451DAC" w:rsidRDefault="00451DAC" w:rsidP="00266A1B">
            <w:pPr>
              <w:pStyle w:val="ListParagraph"/>
              <w:spacing w:line="300" w:lineRule="atLeast"/>
              <w:ind w:left="0"/>
              <w:contextualSpacing w:val="0"/>
              <w:rPr>
                <w:rFonts w:ascii="Arial" w:hAnsi="Arial" w:cs="Arial"/>
              </w:rPr>
            </w:pPr>
            <w:r>
              <w:rPr>
                <w:rFonts w:ascii="Arial" w:hAnsi="Arial" w:cs="Arial"/>
              </w:rPr>
              <w:t>England Average</w:t>
            </w:r>
          </w:p>
        </w:tc>
        <w:tc>
          <w:tcPr>
            <w:tcW w:w="1312" w:type="dxa"/>
          </w:tcPr>
          <w:p w14:paraId="5E8475B0" w14:textId="77777777" w:rsidR="00451DAC" w:rsidRDefault="00451DAC" w:rsidP="00266A1B">
            <w:pPr>
              <w:pStyle w:val="ListParagraph"/>
              <w:spacing w:line="300" w:lineRule="atLeast"/>
              <w:ind w:left="0"/>
              <w:contextualSpacing w:val="0"/>
              <w:rPr>
                <w:rFonts w:ascii="Arial" w:hAnsi="Arial" w:cs="Arial"/>
              </w:rPr>
            </w:pPr>
          </w:p>
        </w:tc>
        <w:tc>
          <w:tcPr>
            <w:tcW w:w="1546" w:type="dxa"/>
          </w:tcPr>
          <w:p w14:paraId="1AA3D60E" w14:textId="7ACEB797" w:rsidR="00451DAC" w:rsidRDefault="00451DAC" w:rsidP="00266A1B">
            <w:pPr>
              <w:pStyle w:val="ListParagraph"/>
              <w:spacing w:line="300" w:lineRule="atLeast"/>
              <w:ind w:left="0"/>
              <w:contextualSpacing w:val="0"/>
              <w:rPr>
                <w:rFonts w:ascii="Arial" w:hAnsi="Arial" w:cs="Arial"/>
              </w:rPr>
            </w:pPr>
            <w:r>
              <w:rPr>
                <w:rFonts w:ascii="Arial" w:hAnsi="Arial" w:cs="Arial"/>
              </w:rPr>
              <w:t>£290,000</w:t>
            </w:r>
          </w:p>
        </w:tc>
        <w:tc>
          <w:tcPr>
            <w:tcW w:w="1566" w:type="dxa"/>
          </w:tcPr>
          <w:p w14:paraId="4001DDC9" w14:textId="45575817" w:rsidR="00451DAC" w:rsidRDefault="00451DAC" w:rsidP="00266A1B">
            <w:pPr>
              <w:pStyle w:val="ListParagraph"/>
              <w:spacing w:line="300" w:lineRule="atLeast"/>
              <w:ind w:left="0"/>
              <w:contextualSpacing w:val="0"/>
              <w:rPr>
                <w:rFonts w:ascii="Arial" w:hAnsi="Arial" w:cs="Arial"/>
              </w:rPr>
            </w:pPr>
            <w:r>
              <w:rPr>
                <w:rFonts w:ascii="Arial" w:hAnsi="Arial" w:cs="Arial"/>
              </w:rPr>
              <w:t>£37,600</w:t>
            </w:r>
          </w:p>
        </w:tc>
        <w:tc>
          <w:tcPr>
            <w:tcW w:w="1736" w:type="dxa"/>
          </w:tcPr>
          <w:p w14:paraId="1A5786E5" w14:textId="647A39A2" w:rsidR="00451DAC" w:rsidRDefault="00451DAC" w:rsidP="00451DAC">
            <w:pPr>
              <w:pStyle w:val="ListParagraph"/>
              <w:keepNext/>
              <w:spacing w:line="300" w:lineRule="atLeast"/>
              <w:ind w:left="0"/>
              <w:contextualSpacing w:val="0"/>
              <w:rPr>
                <w:rFonts w:ascii="Arial" w:hAnsi="Arial" w:cs="Arial"/>
              </w:rPr>
            </w:pPr>
            <w:r>
              <w:rPr>
                <w:rFonts w:ascii="Arial" w:hAnsi="Arial" w:cs="Arial"/>
              </w:rPr>
              <w:t>7.0</w:t>
            </w:r>
          </w:p>
        </w:tc>
      </w:tr>
    </w:tbl>
    <w:p w14:paraId="68B19977" w14:textId="79834E67" w:rsidR="00EA678E" w:rsidRPr="00851D05" w:rsidRDefault="00EA678E" w:rsidP="00851D05">
      <w:pPr>
        <w:spacing w:after="0" w:line="300" w:lineRule="atLeast"/>
        <w:rPr>
          <w:rFonts w:ascii="Arial" w:hAnsi="Arial" w:cs="Arial"/>
        </w:rPr>
      </w:pPr>
    </w:p>
    <w:p w14:paraId="528639EC" w14:textId="29A72FE8" w:rsidR="00851D05" w:rsidRDefault="00851D05" w:rsidP="00E810AA">
      <w:pPr>
        <w:pStyle w:val="ListParagraph"/>
        <w:numPr>
          <w:ilvl w:val="1"/>
          <w:numId w:val="12"/>
        </w:numPr>
        <w:spacing w:after="0" w:line="300" w:lineRule="atLeast"/>
        <w:ind w:left="709" w:hanging="709"/>
        <w:contextualSpacing w:val="0"/>
        <w:rPr>
          <w:rFonts w:ascii="Arial" w:hAnsi="Arial" w:cs="Arial"/>
        </w:rPr>
      </w:pPr>
      <w:r w:rsidRPr="00851D05">
        <w:rPr>
          <w:rFonts w:ascii="Arial" w:hAnsi="Arial" w:cs="Arial"/>
        </w:rPr>
        <w:t>According to the housing data from the Office of National Statistics and the Housing &amp; Economic Need Assessment</w:t>
      </w:r>
      <w:r>
        <w:rPr>
          <w:rFonts w:ascii="Arial" w:hAnsi="Arial" w:cs="Arial"/>
        </w:rPr>
        <w:t xml:space="preserve"> )</w:t>
      </w:r>
      <w:r w:rsidRPr="00851D05">
        <w:rPr>
          <w:rFonts w:ascii="Arial" w:hAnsi="Arial" w:cs="Arial"/>
        </w:rPr>
        <w:t xml:space="preserve">published March 2025), the median house price of Hyndburn Borough is well below the national average.  </w:t>
      </w:r>
    </w:p>
    <w:p w14:paraId="11E62B6F" w14:textId="77777777" w:rsidR="00851D05" w:rsidRDefault="00851D05" w:rsidP="00851D05">
      <w:pPr>
        <w:pStyle w:val="ListParagraph"/>
        <w:spacing w:after="0" w:line="300" w:lineRule="atLeast"/>
        <w:ind w:left="709"/>
        <w:contextualSpacing w:val="0"/>
        <w:rPr>
          <w:rFonts w:ascii="Arial" w:hAnsi="Arial" w:cs="Arial"/>
        </w:rPr>
      </w:pPr>
    </w:p>
    <w:p w14:paraId="0059530F" w14:textId="0CB42B2D" w:rsidR="008E0EAC" w:rsidRDefault="008B4CE3" w:rsidP="00E810AA">
      <w:pPr>
        <w:pStyle w:val="ListParagraph"/>
        <w:numPr>
          <w:ilvl w:val="1"/>
          <w:numId w:val="12"/>
        </w:numPr>
        <w:spacing w:after="0" w:line="300" w:lineRule="atLeast"/>
        <w:ind w:left="709" w:hanging="709"/>
        <w:contextualSpacing w:val="0"/>
        <w:rPr>
          <w:rFonts w:ascii="Arial" w:hAnsi="Arial" w:cs="Arial"/>
        </w:rPr>
      </w:pPr>
      <w:r w:rsidRPr="00E810AA">
        <w:rPr>
          <w:rFonts w:ascii="Arial" w:hAnsi="Arial" w:cs="Arial"/>
        </w:rPr>
        <w:t>Due to</w:t>
      </w:r>
      <w:r w:rsidR="00284709" w:rsidRPr="00E810AA">
        <w:rPr>
          <w:rFonts w:ascii="Arial" w:hAnsi="Arial" w:cs="Arial"/>
        </w:rPr>
        <w:t xml:space="preserve"> low average house prices</w:t>
      </w:r>
      <w:r w:rsidR="00EA678E">
        <w:rPr>
          <w:rFonts w:ascii="Arial" w:hAnsi="Arial" w:cs="Arial"/>
        </w:rPr>
        <w:t xml:space="preserve"> and low average salaries</w:t>
      </w:r>
      <w:r w:rsidR="00284709" w:rsidRPr="00E810AA">
        <w:rPr>
          <w:rFonts w:ascii="Arial" w:hAnsi="Arial" w:cs="Arial"/>
        </w:rPr>
        <w:t xml:space="preserve">, Hyndburn </w:t>
      </w:r>
      <w:r w:rsidR="00455DC8">
        <w:rPr>
          <w:rFonts w:ascii="Arial" w:hAnsi="Arial" w:cs="Arial"/>
        </w:rPr>
        <w:t xml:space="preserve">has one of the lowest </w:t>
      </w:r>
      <w:r w:rsidR="00284709" w:rsidRPr="00E810AA">
        <w:rPr>
          <w:rFonts w:ascii="Arial" w:hAnsi="Arial" w:cs="Arial"/>
        </w:rPr>
        <w:t>overall ‘house price to earning ratios’ out of 3</w:t>
      </w:r>
      <w:r w:rsidR="00455DC8">
        <w:rPr>
          <w:rFonts w:ascii="Arial" w:hAnsi="Arial" w:cs="Arial"/>
        </w:rPr>
        <w:t>17</w:t>
      </w:r>
      <w:r w:rsidR="00284709" w:rsidRPr="00E810AA">
        <w:rPr>
          <w:rFonts w:ascii="Arial" w:hAnsi="Arial" w:cs="Arial"/>
        </w:rPr>
        <w:t xml:space="preserve"> local authorities in Englan</w:t>
      </w:r>
      <w:r w:rsidR="00455DC8">
        <w:rPr>
          <w:rFonts w:ascii="Arial" w:hAnsi="Arial" w:cs="Arial"/>
        </w:rPr>
        <w:t>d</w:t>
      </w:r>
      <w:r w:rsidR="00284709" w:rsidRPr="00E810AA">
        <w:rPr>
          <w:rFonts w:ascii="Arial" w:hAnsi="Arial" w:cs="Arial"/>
        </w:rPr>
        <w:t xml:space="preserve">. </w:t>
      </w:r>
      <w:r w:rsidR="00EA678E">
        <w:rPr>
          <w:rFonts w:ascii="Arial" w:hAnsi="Arial" w:cs="Arial"/>
        </w:rPr>
        <w:t xml:space="preserve"> </w:t>
      </w:r>
      <w:r w:rsidR="004A27BA" w:rsidRPr="00E810AA">
        <w:rPr>
          <w:rFonts w:ascii="Arial" w:hAnsi="Arial" w:cs="Arial"/>
        </w:rPr>
        <w:t>H</w:t>
      </w:r>
      <w:r w:rsidR="002128CA">
        <w:rPr>
          <w:rFonts w:ascii="Arial" w:hAnsi="Arial" w:cs="Arial"/>
        </w:rPr>
        <w:t>ouse</w:t>
      </w:r>
      <w:r w:rsidR="006F324F" w:rsidRPr="00E810AA">
        <w:rPr>
          <w:rFonts w:ascii="Arial" w:hAnsi="Arial" w:cs="Arial"/>
        </w:rPr>
        <w:t xml:space="preserve"> price</w:t>
      </w:r>
      <w:r w:rsidR="002128CA">
        <w:rPr>
          <w:rFonts w:ascii="Arial" w:hAnsi="Arial" w:cs="Arial"/>
        </w:rPr>
        <w:t>s in</w:t>
      </w:r>
      <w:r w:rsidR="006F324F" w:rsidRPr="00E810AA">
        <w:rPr>
          <w:rFonts w:ascii="Arial" w:hAnsi="Arial" w:cs="Arial"/>
        </w:rPr>
        <w:t xml:space="preserve"> neighbouring </w:t>
      </w:r>
      <w:r w:rsidR="002128CA">
        <w:rPr>
          <w:rFonts w:ascii="Arial" w:hAnsi="Arial" w:cs="Arial"/>
        </w:rPr>
        <w:t>authorities</w:t>
      </w:r>
      <w:r w:rsidR="00851D05">
        <w:rPr>
          <w:rFonts w:ascii="Arial" w:hAnsi="Arial" w:cs="Arial"/>
        </w:rPr>
        <w:t>,</w:t>
      </w:r>
      <w:r w:rsidR="002128CA">
        <w:rPr>
          <w:rFonts w:ascii="Arial" w:hAnsi="Arial" w:cs="Arial"/>
        </w:rPr>
        <w:t xml:space="preserve"> </w:t>
      </w:r>
      <w:r w:rsidR="006F324F" w:rsidRPr="00E810AA">
        <w:rPr>
          <w:rFonts w:ascii="Arial" w:hAnsi="Arial" w:cs="Arial"/>
        </w:rPr>
        <w:t>Bl</w:t>
      </w:r>
      <w:r w:rsidR="002128CA">
        <w:rPr>
          <w:rFonts w:ascii="Arial" w:hAnsi="Arial" w:cs="Arial"/>
        </w:rPr>
        <w:t>ackburn with Darwen and Burnley</w:t>
      </w:r>
      <w:r w:rsidR="00851D05">
        <w:rPr>
          <w:rFonts w:ascii="Arial" w:hAnsi="Arial" w:cs="Arial"/>
        </w:rPr>
        <w:t>,</w:t>
      </w:r>
      <w:r w:rsidR="002128CA">
        <w:rPr>
          <w:rFonts w:ascii="Arial" w:hAnsi="Arial" w:cs="Arial"/>
        </w:rPr>
        <w:t xml:space="preserve"> show</w:t>
      </w:r>
      <w:r w:rsidR="004A27BA" w:rsidRPr="00E810AA">
        <w:rPr>
          <w:rFonts w:ascii="Arial" w:hAnsi="Arial" w:cs="Arial"/>
        </w:rPr>
        <w:t xml:space="preserve"> a similar pattern to that of Hyndburn</w:t>
      </w:r>
      <w:r w:rsidR="00455DC8">
        <w:rPr>
          <w:rFonts w:ascii="Arial" w:hAnsi="Arial" w:cs="Arial"/>
        </w:rPr>
        <w:t>.</w:t>
      </w:r>
      <w:r w:rsidR="006F324F" w:rsidRPr="00E810AA">
        <w:rPr>
          <w:rFonts w:ascii="Arial" w:hAnsi="Arial" w:cs="Arial"/>
        </w:rPr>
        <w:t xml:space="preserve"> </w:t>
      </w:r>
    </w:p>
    <w:p w14:paraId="7DD41E58" w14:textId="77777777" w:rsidR="00DB1781" w:rsidRPr="00E810AA" w:rsidRDefault="00DB1781" w:rsidP="00DB1781">
      <w:pPr>
        <w:pStyle w:val="ListParagraph"/>
        <w:spacing w:after="0" w:line="300" w:lineRule="atLeast"/>
        <w:ind w:left="709"/>
        <w:contextualSpacing w:val="0"/>
        <w:rPr>
          <w:rFonts w:ascii="Arial" w:hAnsi="Arial" w:cs="Arial"/>
        </w:rPr>
      </w:pPr>
    </w:p>
    <w:p w14:paraId="4A5FC7A0" w14:textId="77777777" w:rsidR="00EF41E0" w:rsidRDefault="00455DC8" w:rsidP="008100EA">
      <w:pPr>
        <w:pStyle w:val="ListParagraph"/>
        <w:numPr>
          <w:ilvl w:val="1"/>
          <w:numId w:val="12"/>
        </w:numPr>
        <w:spacing w:after="0" w:line="300" w:lineRule="atLeast"/>
        <w:ind w:left="709" w:hanging="709"/>
        <w:contextualSpacing w:val="0"/>
        <w:rPr>
          <w:rFonts w:ascii="Arial" w:hAnsi="Arial" w:cs="Arial"/>
        </w:rPr>
      </w:pPr>
      <w:r w:rsidRPr="00455DC8">
        <w:rPr>
          <w:rFonts w:ascii="Arial" w:hAnsi="Arial" w:cs="Arial"/>
        </w:rPr>
        <w:t>Given the high yields from HMO properties, the ability to buy them for a lower price is likely to make them more attractive to companies and investors in the HMO market in local authority areas with lower housing prices.  This makes Hyndburn a</w:t>
      </w:r>
      <w:r>
        <w:rPr>
          <w:rFonts w:ascii="Arial" w:hAnsi="Arial" w:cs="Arial"/>
        </w:rPr>
        <w:t xml:space="preserve"> potential</w:t>
      </w:r>
      <w:r w:rsidRPr="00455DC8">
        <w:rPr>
          <w:rFonts w:ascii="Arial" w:hAnsi="Arial" w:cs="Arial"/>
        </w:rPr>
        <w:t xml:space="preserve"> investment target area.  Coupled with lower earnings</w:t>
      </w:r>
      <w:r>
        <w:rPr>
          <w:rFonts w:ascii="Arial" w:hAnsi="Arial" w:cs="Arial"/>
        </w:rPr>
        <w:t xml:space="preserve"> and no planning controls on smaller HMOs</w:t>
      </w:r>
      <w:r w:rsidRPr="00455DC8">
        <w:rPr>
          <w:rFonts w:ascii="Arial" w:hAnsi="Arial" w:cs="Arial"/>
        </w:rPr>
        <w:t xml:space="preserve">, the market is also directing itself to those </w:t>
      </w:r>
      <w:r w:rsidR="00EF41E0">
        <w:rPr>
          <w:rFonts w:ascii="Arial" w:hAnsi="Arial" w:cs="Arial"/>
        </w:rPr>
        <w:t xml:space="preserve">residents and in migrants </w:t>
      </w:r>
      <w:r w:rsidRPr="00455DC8">
        <w:rPr>
          <w:rFonts w:ascii="Arial" w:hAnsi="Arial" w:cs="Arial"/>
        </w:rPr>
        <w:t xml:space="preserve">that would not be able to afford </w:t>
      </w:r>
      <w:r w:rsidR="00EF41E0">
        <w:rPr>
          <w:rFonts w:ascii="Arial" w:hAnsi="Arial" w:cs="Arial"/>
        </w:rPr>
        <w:t xml:space="preserve">to access </w:t>
      </w:r>
      <w:r w:rsidRPr="00455DC8">
        <w:rPr>
          <w:rFonts w:ascii="Arial" w:hAnsi="Arial" w:cs="Arial"/>
        </w:rPr>
        <w:t xml:space="preserve">other types of residential housing. </w:t>
      </w:r>
    </w:p>
    <w:p w14:paraId="577A1765" w14:textId="77777777" w:rsidR="00EF41E0" w:rsidRPr="00EF41E0" w:rsidRDefault="00EF41E0" w:rsidP="00EF41E0">
      <w:pPr>
        <w:pStyle w:val="ListParagraph"/>
        <w:rPr>
          <w:rFonts w:ascii="Arial" w:hAnsi="Arial" w:cs="Arial"/>
        </w:rPr>
      </w:pPr>
    </w:p>
    <w:p w14:paraId="5B0A28EB" w14:textId="798C12AC" w:rsidR="00455DC8" w:rsidRDefault="00EF41E0" w:rsidP="00851D05">
      <w:pPr>
        <w:pStyle w:val="ListParagraph"/>
        <w:numPr>
          <w:ilvl w:val="1"/>
          <w:numId w:val="12"/>
        </w:numPr>
        <w:spacing w:after="0" w:line="300" w:lineRule="atLeast"/>
        <w:ind w:left="709" w:hanging="709"/>
        <w:contextualSpacing w:val="0"/>
        <w:rPr>
          <w:rFonts w:ascii="Arial" w:hAnsi="Arial" w:cs="Arial"/>
        </w:rPr>
      </w:pPr>
      <w:r>
        <w:rPr>
          <w:rFonts w:ascii="Arial" w:hAnsi="Arial" w:cs="Arial"/>
        </w:rPr>
        <w:lastRenderedPageBreak/>
        <w:t xml:space="preserve">The Council should also be mindful that national changes to the housing market can affect how potential buyers invest and where.  There is a clear pattern of buying properties in Hyndburn around 2021/22 when house prices were rising, interest rates were low, but housing in the Borough was still very inexpensive.  Should interest rates fall again significantly and buying becomes more attractive </w:t>
      </w:r>
      <w:proofErr w:type="spellStart"/>
      <w:r>
        <w:rPr>
          <w:rFonts w:ascii="Arial" w:hAnsi="Arial" w:cs="Arial"/>
        </w:rPr>
        <w:t>then</w:t>
      </w:r>
      <w:proofErr w:type="spellEnd"/>
      <w:r>
        <w:rPr>
          <w:rFonts w:ascii="Arial" w:hAnsi="Arial" w:cs="Arial"/>
        </w:rPr>
        <w:t xml:space="preserve"> the Borough may again see a surge in speculative property buying. </w:t>
      </w:r>
    </w:p>
    <w:p w14:paraId="7F91E582" w14:textId="77777777" w:rsidR="00851D05" w:rsidRPr="00851D05" w:rsidRDefault="00851D05" w:rsidP="00851D05">
      <w:pPr>
        <w:spacing w:after="0" w:line="300" w:lineRule="atLeast"/>
        <w:rPr>
          <w:rFonts w:ascii="Arial" w:hAnsi="Arial" w:cs="Arial"/>
        </w:rPr>
      </w:pPr>
    </w:p>
    <w:p w14:paraId="15F1E408" w14:textId="77777777" w:rsidR="00973095" w:rsidRPr="00A23E26" w:rsidRDefault="00AC02B4" w:rsidP="00A23E26">
      <w:pPr>
        <w:spacing w:after="0" w:line="300" w:lineRule="atLeast"/>
        <w:ind w:left="709"/>
        <w:rPr>
          <w:rFonts w:ascii="Arial" w:hAnsi="Arial" w:cs="Arial"/>
          <w:b/>
        </w:rPr>
      </w:pPr>
      <w:r>
        <w:rPr>
          <w:rFonts w:ascii="Arial" w:hAnsi="Arial" w:cs="Arial"/>
          <w:b/>
        </w:rPr>
        <w:t>B.</w:t>
      </w:r>
      <w:r>
        <w:rPr>
          <w:rFonts w:ascii="Arial" w:hAnsi="Arial" w:cs="Arial"/>
          <w:b/>
        </w:rPr>
        <w:tab/>
      </w:r>
      <w:r w:rsidR="00973095" w:rsidRPr="00A23E26">
        <w:rPr>
          <w:rFonts w:ascii="Arial" w:hAnsi="Arial" w:cs="Arial"/>
          <w:b/>
        </w:rPr>
        <w:t xml:space="preserve">Household Deprivation </w:t>
      </w:r>
    </w:p>
    <w:p w14:paraId="7BC5C7B7" w14:textId="77777777" w:rsidR="00DB1781" w:rsidRPr="00E810AA" w:rsidRDefault="00DB1781" w:rsidP="00DB1781">
      <w:pPr>
        <w:pStyle w:val="ListParagraph"/>
        <w:spacing w:after="0" w:line="300" w:lineRule="atLeast"/>
        <w:ind w:left="1276"/>
        <w:contextualSpacing w:val="0"/>
        <w:rPr>
          <w:rFonts w:ascii="Arial" w:hAnsi="Arial" w:cs="Arial"/>
        </w:rPr>
      </w:pPr>
    </w:p>
    <w:p w14:paraId="6D8BBC40" w14:textId="06E25228" w:rsidR="00F3056C" w:rsidRDefault="00F36594" w:rsidP="00E810AA">
      <w:pPr>
        <w:pStyle w:val="ListParagraph"/>
        <w:numPr>
          <w:ilvl w:val="1"/>
          <w:numId w:val="12"/>
        </w:numPr>
        <w:spacing w:after="0" w:line="300" w:lineRule="atLeast"/>
        <w:ind w:left="709" w:hanging="709"/>
        <w:rPr>
          <w:rFonts w:ascii="Arial" w:hAnsi="Arial" w:cs="Arial"/>
        </w:rPr>
      </w:pPr>
      <w:r w:rsidRPr="00E810AA">
        <w:rPr>
          <w:rFonts w:ascii="Arial" w:hAnsi="Arial" w:cs="Arial"/>
        </w:rPr>
        <w:t>Alongside t</w:t>
      </w:r>
      <w:r w:rsidR="00A666D0" w:rsidRPr="00E810AA">
        <w:rPr>
          <w:rFonts w:ascii="Arial" w:hAnsi="Arial" w:cs="Arial"/>
        </w:rPr>
        <w:t xml:space="preserve">he low house price and ‘house price to </w:t>
      </w:r>
      <w:r w:rsidRPr="00E810AA">
        <w:rPr>
          <w:rFonts w:ascii="Arial" w:hAnsi="Arial" w:cs="Arial"/>
        </w:rPr>
        <w:t>earning ratios’</w:t>
      </w:r>
      <w:r w:rsidR="004D6DC6" w:rsidRPr="00E810AA">
        <w:rPr>
          <w:rFonts w:ascii="Arial" w:hAnsi="Arial" w:cs="Arial"/>
        </w:rPr>
        <w:t>, it is also noted that</w:t>
      </w:r>
      <w:r w:rsidRPr="00E810AA">
        <w:rPr>
          <w:rFonts w:ascii="Arial" w:hAnsi="Arial" w:cs="Arial"/>
        </w:rPr>
        <w:t xml:space="preserve"> </w:t>
      </w:r>
      <w:r w:rsidR="00CF6601" w:rsidRPr="00E810AA">
        <w:rPr>
          <w:rFonts w:ascii="Arial" w:hAnsi="Arial" w:cs="Arial"/>
        </w:rPr>
        <w:t>Hyndburn, Burnley and Blackburn with Darwen have bee</w:t>
      </w:r>
      <w:r w:rsidR="005C5824" w:rsidRPr="00E810AA">
        <w:rPr>
          <w:rFonts w:ascii="Arial" w:hAnsi="Arial" w:cs="Arial"/>
        </w:rPr>
        <w:t xml:space="preserve">n underperforming </w:t>
      </w:r>
      <w:r w:rsidR="0032627D">
        <w:rPr>
          <w:rFonts w:ascii="Arial" w:hAnsi="Arial" w:cs="Arial"/>
        </w:rPr>
        <w:t>in</w:t>
      </w:r>
      <w:r w:rsidR="005C5824" w:rsidRPr="00E810AA">
        <w:rPr>
          <w:rFonts w:ascii="Arial" w:hAnsi="Arial" w:cs="Arial"/>
        </w:rPr>
        <w:t xml:space="preserve"> Household D</w:t>
      </w:r>
      <w:r w:rsidR="00CF6601" w:rsidRPr="00E810AA">
        <w:rPr>
          <w:rFonts w:ascii="Arial" w:hAnsi="Arial" w:cs="Arial"/>
        </w:rPr>
        <w:t>eprivation di</w:t>
      </w:r>
      <w:r w:rsidR="005C5824" w:rsidRPr="00E810AA">
        <w:rPr>
          <w:rFonts w:ascii="Arial" w:hAnsi="Arial" w:cs="Arial"/>
        </w:rPr>
        <w:t xml:space="preserve">mensions. </w:t>
      </w:r>
      <w:r w:rsidR="00A23E26">
        <w:rPr>
          <w:rFonts w:ascii="Arial" w:hAnsi="Arial" w:cs="Arial"/>
        </w:rPr>
        <w:t xml:space="preserve"> </w:t>
      </w:r>
      <w:r w:rsidR="00F3056C" w:rsidRPr="00E810AA">
        <w:rPr>
          <w:rFonts w:ascii="Arial" w:hAnsi="Arial" w:cs="Arial"/>
        </w:rPr>
        <w:t>The dimensions of deprivation used to classify households are indicators based on four selected household characteristics</w:t>
      </w:r>
      <w:r w:rsidR="00F96F26" w:rsidRPr="00E810AA">
        <w:rPr>
          <w:rFonts w:ascii="Arial" w:hAnsi="Arial" w:cs="Arial"/>
        </w:rPr>
        <w:t xml:space="preserve">: </w:t>
      </w:r>
    </w:p>
    <w:p w14:paraId="6D5E6AAC" w14:textId="77777777" w:rsidR="0032627D" w:rsidRPr="00E810AA" w:rsidRDefault="0032627D" w:rsidP="0032627D">
      <w:pPr>
        <w:pStyle w:val="ListParagraph"/>
        <w:spacing w:after="0" w:line="300" w:lineRule="atLeast"/>
        <w:ind w:left="709"/>
        <w:rPr>
          <w:rFonts w:ascii="Arial" w:hAnsi="Arial" w:cs="Arial"/>
        </w:rPr>
      </w:pPr>
    </w:p>
    <w:p w14:paraId="24C1DE5C" w14:textId="623E38E2" w:rsidR="00F3056C" w:rsidRPr="00E810AA" w:rsidRDefault="00F3056C" w:rsidP="00DB1781">
      <w:pPr>
        <w:pStyle w:val="ListParagraph"/>
        <w:numPr>
          <w:ilvl w:val="0"/>
          <w:numId w:val="3"/>
        </w:numPr>
        <w:spacing w:after="0" w:line="300" w:lineRule="atLeast"/>
        <w:ind w:left="1276" w:hanging="499"/>
        <w:rPr>
          <w:rFonts w:ascii="Arial" w:hAnsi="Arial" w:cs="Arial"/>
        </w:rPr>
      </w:pPr>
      <w:r w:rsidRPr="00E810AA">
        <w:rPr>
          <w:rFonts w:ascii="Arial" w:hAnsi="Arial" w:cs="Arial"/>
        </w:rPr>
        <w:t xml:space="preserve">Education – a household is classified as deprived in this dimension if no one has at least </w:t>
      </w:r>
      <w:r w:rsidR="00851D05">
        <w:rPr>
          <w:rFonts w:ascii="Arial" w:hAnsi="Arial" w:cs="Arial"/>
        </w:rPr>
        <w:t>L</w:t>
      </w:r>
      <w:r w:rsidRPr="00E810AA">
        <w:rPr>
          <w:rFonts w:ascii="Arial" w:hAnsi="Arial" w:cs="Arial"/>
        </w:rPr>
        <w:t xml:space="preserve">evel 2 education and no one aged 16 to 18 years is a full-time student. </w:t>
      </w:r>
    </w:p>
    <w:p w14:paraId="3C7C33AF" w14:textId="77777777" w:rsidR="00B47AFE" w:rsidRPr="00E810AA" w:rsidRDefault="00B47AFE" w:rsidP="00DB1781">
      <w:pPr>
        <w:pStyle w:val="ListParagraph"/>
        <w:numPr>
          <w:ilvl w:val="0"/>
          <w:numId w:val="3"/>
        </w:numPr>
        <w:spacing w:after="0" w:line="300" w:lineRule="atLeast"/>
        <w:ind w:left="1276" w:hanging="499"/>
        <w:rPr>
          <w:rFonts w:ascii="Arial" w:hAnsi="Arial" w:cs="Arial"/>
        </w:rPr>
      </w:pPr>
      <w:r w:rsidRPr="00E810AA">
        <w:rPr>
          <w:rFonts w:ascii="Arial" w:hAnsi="Arial" w:cs="Arial"/>
        </w:rPr>
        <w:t xml:space="preserve">Employment – a household is classified as deprived in the employment dimension if any member, not a full-time student, is either unemployed or disabled. </w:t>
      </w:r>
    </w:p>
    <w:p w14:paraId="03D78643" w14:textId="77777777" w:rsidR="00F3056C" w:rsidRPr="00E810AA" w:rsidRDefault="00F3056C" w:rsidP="00DB1781">
      <w:pPr>
        <w:pStyle w:val="ListParagraph"/>
        <w:numPr>
          <w:ilvl w:val="0"/>
          <w:numId w:val="3"/>
        </w:numPr>
        <w:spacing w:after="0" w:line="300" w:lineRule="atLeast"/>
        <w:ind w:left="1276" w:hanging="499"/>
        <w:rPr>
          <w:rFonts w:ascii="Arial" w:hAnsi="Arial" w:cs="Arial"/>
        </w:rPr>
      </w:pPr>
      <w:r w:rsidRPr="00E810AA">
        <w:rPr>
          <w:rFonts w:ascii="Arial" w:hAnsi="Arial" w:cs="Arial"/>
        </w:rPr>
        <w:t>H</w:t>
      </w:r>
      <w:r w:rsidR="00B47AFE" w:rsidRPr="00E810AA">
        <w:rPr>
          <w:rFonts w:ascii="Arial" w:hAnsi="Arial" w:cs="Arial"/>
        </w:rPr>
        <w:t xml:space="preserve">ealth – a household is classified as deprived in the heath dimension if any member is disabled. </w:t>
      </w:r>
    </w:p>
    <w:p w14:paraId="7E4668F7" w14:textId="77777777" w:rsidR="004B3A39" w:rsidRDefault="00F3056C" w:rsidP="00DB1781">
      <w:pPr>
        <w:pStyle w:val="ListParagraph"/>
        <w:numPr>
          <w:ilvl w:val="0"/>
          <w:numId w:val="3"/>
        </w:numPr>
        <w:spacing w:after="0" w:line="300" w:lineRule="atLeast"/>
        <w:ind w:left="1276" w:hanging="499"/>
        <w:contextualSpacing w:val="0"/>
        <w:rPr>
          <w:rFonts w:ascii="Arial" w:hAnsi="Arial" w:cs="Arial"/>
        </w:rPr>
      </w:pPr>
      <w:r w:rsidRPr="00E810AA">
        <w:rPr>
          <w:rFonts w:ascii="Arial" w:hAnsi="Arial" w:cs="Arial"/>
        </w:rPr>
        <w:t>H</w:t>
      </w:r>
      <w:r w:rsidR="00B47AFE" w:rsidRPr="00E810AA">
        <w:rPr>
          <w:rFonts w:ascii="Arial" w:hAnsi="Arial" w:cs="Arial"/>
        </w:rPr>
        <w:t xml:space="preserve">ousing – a household is classified as deprived in the housing dimension if the household’s accommodation is either overcrowded, in a shared dwelling, or has no central heating. </w:t>
      </w:r>
    </w:p>
    <w:p w14:paraId="650B00B2" w14:textId="77777777" w:rsidR="006F2054" w:rsidRDefault="006F2054" w:rsidP="006F2054">
      <w:pPr>
        <w:pStyle w:val="ListParagraph"/>
        <w:spacing w:after="0" w:line="300" w:lineRule="atLeast"/>
        <w:ind w:left="709"/>
        <w:contextualSpacing w:val="0"/>
        <w:rPr>
          <w:rFonts w:ascii="Arial" w:hAnsi="Arial" w:cs="Arial"/>
        </w:rPr>
      </w:pPr>
    </w:p>
    <w:p w14:paraId="32ED04F1" w14:textId="77777777" w:rsidR="00851D05" w:rsidRDefault="006F2054" w:rsidP="00851D05">
      <w:pPr>
        <w:pStyle w:val="ListParagraph"/>
        <w:numPr>
          <w:ilvl w:val="1"/>
          <w:numId w:val="12"/>
        </w:numPr>
        <w:spacing w:after="0" w:line="300" w:lineRule="atLeast"/>
        <w:ind w:left="709" w:hanging="709"/>
        <w:contextualSpacing w:val="0"/>
        <w:rPr>
          <w:rFonts w:ascii="Arial" w:hAnsi="Arial" w:cs="Arial"/>
        </w:rPr>
      </w:pPr>
      <w:r w:rsidRPr="006F2054">
        <w:rPr>
          <w:rFonts w:ascii="Arial" w:hAnsi="Arial" w:cs="Arial"/>
        </w:rPr>
        <w:t xml:space="preserve">The latest Indices of Deprivation was published on </w:t>
      </w:r>
      <w:r>
        <w:rPr>
          <w:rFonts w:ascii="Arial" w:hAnsi="Arial" w:cs="Arial"/>
        </w:rPr>
        <w:t>30 October</w:t>
      </w:r>
      <w:r w:rsidRPr="006F2054">
        <w:rPr>
          <w:rFonts w:ascii="Arial" w:hAnsi="Arial" w:cs="Arial"/>
        </w:rPr>
        <w:t xml:space="preserve"> 2025.  Since </w:t>
      </w:r>
      <w:r w:rsidR="00EF41E0">
        <w:rPr>
          <w:rFonts w:ascii="Arial" w:hAnsi="Arial" w:cs="Arial"/>
        </w:rPr>
        <w:t xml:space="preserve">the last publication in </w:t>
      </w:r>
      <w:r w:rsidRPr="006F2054">
        <w:rPr>
          <w:rFonts w:ascii="Arial" w:hAnsi="Arial" w:cs="Arial"/>
        </w:rPr>
        <w:t>2019 Hyndburn</w:t>
      </w:r>
      <w:r w:rsidR="00EF41E0">
        <w:rPr>
          <w:rFonts w:ascii="Arial" w:hAnsi="Arial" w:cs="Arial"/>
        </w:rPr>
        <w:t>`s</w:t>
      </w:r>
      <w:r w:rsidRPr="006F2054">
        <w:rPr>
          <w:rFonts w:ascii="Arial" w:hAnsi="Arial" w:cs="Arial"/>
        </w:rPr>
        <w:t xml:space="preserve"> </w:t>
      </w:r>
      <w:r>
        <w:rPr>
          <w:rFonts w:ascii="Arial" w:hAnsi="Arial" w:cs="Arial"/>
        </w:rPr>
        <w:t xml:space="preserve">overall </w:t>
      </w:r>
      <w:r w:rsidRPr="006F2054">
        <w:rPr>
          <w:rFonts w:ascii="Arial" w:hAnsi="Arial" w:cs="Arial"/>
        </w:rPr>
        <w:t>ranking on the Indices has remained the same, 16</w:t>
      </w:r>
      <w:r w:rsidRPr="006F2054">
        <w:rPr>
          <w:rFonts w:ascii="Arial" w:hAnsi="Arial" w:cs="Arial"/>
          <w:vertAlign w:val="superscript"/>
        </w:rPr>
        <w:t>th</w:t>
      </w:r>
      <w:r w:rsidRPr="006F2054">
        <w:rPr>
          <w:rFonts w:ascii="Arial" w:hAnsi="Arial" w:cs="Arial"/>
        </w:rPr>
        <w:t xml:space="preserve"> out of 317 local authorities</w:t>
      </w:r>
      <w:r>
        <w:rPr>
          <w:rFonts w:ascii="Arial" w:hAnsi="Arial" w:cs="Arial"/>
        </w:rPr>
        <w:t>.  Hyndburn had seen a steady decline in ranking, but this seems to have been halted with the publication of the latest Indices.</w:t>
      </w:r>
    </w:p>
    <w:p w14:paraId="323488AD" w14:textId="77777777" w:rsidR="00851D05" w:rsidRDefault="00851D05" w:rsidP="00851D05">
      <w:pPr>
        <w:pStyle w:val="ListParagraph"/>
        <w:spacing w:after="0" w:line="300" w:lineRule="atLeast"/>
        <w:ind w:left="709"/>
        <w:contextualSpacing w:val="0"/>
        <w:rPr>
          <w:rFonts w:ascii="Arial" w:hAnsi="Arial" w:cs="Arial"/>
        </w:rPr>
      </w:pPr>
    </w:p>
    <w:p w14:paraId="21DF2ED6" w14:textId="4264DFDD" w:rsidR="00851D05" w:rsidRPr="00851D05" w:rsidRDefault="00851D05" w:rsidP="00851D05">
      <w:pPr>
        <w:pStyle w:val="ListParagraph"/>
        <w:numPr>
          <w:ilvl w:val="1"/>
          <w:numId w:val="12"/>
        </w:numPr>
        <w:spacing w:after="0" w:line="300" w:lineRule="atLeast"/>
        <w:ind w:left="709" w:hanging="709"/>
        <w:contextualSpacing w:val="0"/>
        <w:rPr>
          <w:rFonts w:ascii="Arial" w:hAnsi="Arial" w:cs="Arial"/>
        </w:rPr>
      </w:pPr>
      <w:r w:rsidRPr="00851D05">
        <w:rPr>
          <w:rFonts w:ascii="Arial" w:hAnsi="Arial" w:cs="Arial"/>
        </w:rPr>
        <w:t>In terms of the number of indices where Hyndburn scores 1, which means that in those indices the area falls within the top 10% of most deprived local authorities, Hyndburn has 4 of these.</w:t>
      </w:r>
    </w:p>
    <w:p w14:paraId="0A149419" w14:textId="77777777" w:rsidR="00851D05" w:rsidRDefault="00851D05" w:rsidP="00851D05">
      <w:pPr>
        <w:spacing w:after="0" w:line="300" w:lineRule="atLeast"/>
        <w:ind w:left="709" w:hanging="709"/>
        <w:rPr>
          <w:rFonts w:ascii="Arial" w:hAnsi="Arial" w:cs="Arial"/>
        </w:rPr>
      </w:pPr>
    </w:p>
    <w:p w14:paraId="52823A14" w14:textId="77777777" w:rsidR="00851D05" w:rsidRDefault="00851D05" w:rsidP="00851D05">
      <w:pPr>
        <w:pStyle w:val="ListParagraph"/>
        <w:numPr>
          <w:ilvl w:val="0"/>
          <w:numId w:val="35"/>
        </w:numPr>
        <w:spacing w:after="0" w:line="300" w:lineRule="atLeast"/>
        <w:rPr>
          <w:rFonts w:ascii="Arial" w:hAnsi="Arial" w:cs="Arial"/>
        </w:rPr>
      </w:pPr>
      <w:r>
        <w:rPr>
          <w:rFonts w:ascii="Arial" w:hAnsi="Arial" w:cs="Arial"/>
        </w:rPr>
        <w:t>Employment</w:t>
      </w:r>
    </w:p>
    <w:p w14:paraId="68FAF78A" w14:textId="77777777" w:rsidR="00851D05" w:rsidRDefault="00851D05" w:rsidP="00851D05">
      <w:pPr>
        <w:pStyle w:val="ListParagraph"/>
        <w:numPr>
          <w:ilvl w:val="0"/>
          <w:numId w:val="35"/>
        </w:numPr>
        <w:spacing w:after="0" w:line="300" w:lineRule="atLeast"/>
        <w:rPr>
          <w:rFonts w:ascii="Arial" w:hAnsi="Arial" w:cs="Arial"/>
        </w:rPr>
      </w:pPr>
      <w:r>
        <w:rPr>
          <w:rFonts w:ascii="Arial" w:hAnsi="Arial" w:cs="Arial"/>
        </w:rPr>
        <w:t>Health</w:t>
      </w:r>
    </w:p>
    <w:p w14:paraId="7EF76702" w14:textId="77777777" w:rsidR="00851D05" w:rsidRDefault="00851D05" w:rsidP="00851D05">
      <w:pPr>
        <w:pStyle w:val="ListParagraph"/>
        <w:numPr>
          <w:ilvl w:val="0"/>
          <w:numId w:val="35"/>
        </w:numPr>
        <w:spacing w:after="0" w:line="300" w:lineRule="atLeast"/>
        <w:rPr>
          <w:rFonts w:ascii="Arial" w:hAnsi="Arial" w:cs="Arial"/>
        </w:rPr>
      </w:pPr>
      <w:r>
        <w:rPr>
          <w:rFonts w:ascii="Arial" w:hAnsi="Arial" w:cs="Arial"/>
        </w:rPr>
        <w:t xml:space="preserve">Crime </w:t>
      </w:r>
    </w:p>
    <w:p w14:paraId="7437BDEC" w14:textId="77777777" w:rsidR="00851D05" w:rsidRDefault="00851D05" w:rsidP="00851D05">
      <w:pPr>
        <w:pStyle w:val="ListParagraph"/>
        <w:numPr>
          <w:ilvl w:val="0"/>
          <w:numId w:val="35"/>
        </w:numPr>
        <w:spacing w:after="0" w:line="300" w:lineRule="atLeast"/>
        <w:rPr>
          <w:rFonts w:ascii="Arial" w:hAnsi="Arial" w:cs="Arial"/>
        </w:rPr>
      </w:pPr>
      <w:r>
        <w:rPr>
          <w:rFonts w:ascii="Arial" w:hAnsi="Arial" w:cs="Arial"/>
        </w:rPr>
        <w:t>Living Environment</w:t>
      </w:r>
    </w:p>
    <w:p w14:paraId="197DECDD" w14:textId="77777777" w:rsidR="00851D05" w:rsidRPr="00A74997" w:rsidRDefault="00851D05" w:rsidP="00851D05">
      <w:pPr>
        <w:spacing w:after="0" w:line="300" w:lineRule="atLeast"/>
        <w:ind w:left="720"/>
        <w:rPr>
          <w:rFonts w:ascii="Arial" w:hAnsi="Arial" w:cs="Arial"/>
        </w:rPr>
      </w:pPr>
    </w:p>
    <w:p w14:paraId="71F8C5D1" w14:textId="3C3120AB" w:rsidR="00851D05" w:rsidRDefault="00A80448" w:rsidP="00851D05">
      <w:pPr>
        <w:spacing w:after="0" w:line="300" w:lineRule="atLeast"/>
        <w:ind w:left="709" w:hanging="709"/>
        <w:rPr>
          <w:rFonts w:ascii="Arial" w:hAnsi="Arial" w:cs="Arial"/>
        </w:rPr>
      </w:pPr>
      <w:r>
        <w:rPr>
          <w:rFonts w:ascii="Arial" w:hAnsi="Arial" w:cs="Arial"/>
        </w:rPr>
        <w:t>6.15</w:t>
      </w:r>
      <w:r>
        <w:rPr>
          <w:rFonts w:ascii="Arial" w:hAnsi="Arial" w:cs="Arial"/>
        </w:rPr>
        <w:tab/>
      </w:r>
      <w:r w:rsidR="00851D05">
        <w:rPr>
          <w:rFonts w:ascii="Arial" w:hAnsi="Arial" w:cs="Arial"/>
        </w:rPr>
        <w:t>In terms of the number of indices where Hyndburn scores 1, which means that in those indices the area falls within the top 10% of most deprived local authorities, Hyndburn has 4 of these.</w:t>
      </w:r>
    </w:p>
    <w:p w14:paraId="6FC9CC92" w14:textId="77777777" w:rsidR="00851D05" w:rsidRDefault="00851D05" w:rsidP="00851D05">
      <w:pPr>
        <w:spacing w:after="0" w:line="300" w:lineRule="atLeast"/>
        <w:ind w:left="709" w:hanging="709"/>
        <w:rPr>
          <w:rFonts w:ascii="Arial" w:hAnsi="Arial" w:cs="Arial"/>
        </w:rPr>
      </w:pPr>
    </w:p>
    <w:p w14:paraId="2BBA01BD" w14:textId="77777777" w:rsidR="00851D05" w:rsidRDefault="00851D05" w:rsidP="00851D05">
      <w:pPr>
        <w:pStyle w:val="ListParagraph"/>
        <w:numPr>
          <w:ilvl w:val="0"/>
          <w:numId w:val="35"/>
        </w:numPr>
        <w:spacing w:after="0" w:line="300" w:lineRule="atLeast"/>
        <w:rPr>
          <w:rFonts w:ascii="Arial" w:hAnsi="Arial" w:cs="Arial"/>
        </w:rPr>
      </w:pPr>
      <w:r>
        <w:rPr>
          <w:rFonts w:ascii="Arial" w:hAnsi="Arial" w:cs="Arial"/>
        </w:rPr>
        <w:t>Employment</w:t>
      </w:r>
    </w:p>
    <w:p w14:paraId="19E17D83" w14:textId="77777777" w:rsidR="00851D05" w:rsidRDefault="00851D05" w:rsidP="00851D05">
      <w:pPr>
        <w:pStyle w:val="ListParagraph"/>
        <w:numPr>
          <w:ilvl w:val="0"/>
          <w:numId w:val="35"/>
        </w:numPr>
        <w:spacing w:after="0" w:line="300" w:lineRule="atLeast"/>
        <w:rPr>
          <w:rFonts w:ascii="Arial" w:hAnsi="Arial" w:cs="Arial"/>
        </w:rPr>
      </w:pPr>
      <w:r>
        <w:rPr>
          <w:rFonts w:ascii="Arial" w:hAnsi="Arial" w:cs="Arial"/>
        </w:rPr>
        <w:t>Health</w:t>
      </w:r>
    </w:p>
    <w:p w14:paraId="7A98D9DC" w14:textId="77777777" w:rsidR="00851D05" w:rsidRDefault="00851D05" w:rsidP="00851D05">
      <w:pPr>
        <w:pStyle w:val="ListParagraph"/>
        <w:numPr>
          <w:ilvl w:val="0"/>
          <w:numId w:val="35"/>
        </w:numPr>
        <w:spacing w:after="0" w:line="300" w:lineRule="atLeast"/>
        <w:rPr>
          <w:rFonts w:ascii="Arial" w:hAnsi="Arial" w:cs="Arial"/>
        </w:rPr>
      </w:pPr>
      <w:r>
        <w:rPr>
          <w:rFonts w:ascii="Arial" w:hAnsi="Arial" w:cs="Arial"/>
        </w:rPr>
        <w:lastRenderedPageBreak/>
        <w:t xml:space="preserve">Crime </w:t>
      </w:r>
    </w:p>
    <w:p w14:paraId="54EAD3DE" w14:textId="77777777" w:rsidR="00851D05" w:rsidRDefault="00851D05" w:rsidP="00851D05">
      <w:pPr>
        <w:pStyle w:val="ListParagraph"/>
        <w:numPr>
          <w:ilvl w:val="0"/>
          <w:numId w:val="35"/>
        </w:numPr>
        <w:spacing w:after="0" w:line="300" w:lineRule="atLeast"/>
        <w:rPr>
          <w:rFonts w:ascii="Arial" w:hAnsi="Arial" w:cs="Arial"/>
        </w:rPr>
      </w:pPr>
      <w:r>
        <w:rPr>
          <w:rFonts w:ascii="Arial" w:hAnsi="Arial" w:cs="Arial"/>
        </w:rPr>
        <w:t>Living Environment</w:t>
      </w:r>
    </w:p>
    <w:p w14:paraId="62115566" w14:textId="77777777" w:rsidR="00A80448" w:rsidRDefault="00A80448" w:rsidP="00A80448">
      <w:pPr>
        <w:spacing w:after="0" w:line="300" w:lineRule="atLeast"/>
        <w:rPr>
          <w:rFonts w:ascii="Arial" w:hAnsi="Arial" w:cs="Arial"/>
        </w:rPr>
      </w:pPr>
    </w:p>
    <w:p w14:paraId="4B445507" w14:textId="07D4F699" w:rsidR="00851D05" w:rsidRDefault="00A80448" w:rsidP="00A80448">
      <w:pPr>
        <w:spacing w:after="0" w:line="300" w:lineRule="atLeast"/>
        <w:rPr>
          <w:rFonts w:ascii="Arial" w:hAnsi="Arial" w:cs="Arial"/>
        </w:rPr>
      </w:pPr>
      <w:r>
        <w:rPr>
          <w:rFonts w:ascii="Arial" w:hAnsi="Arial" w:cs="Arial"/>
        </w:rPr>
        <w:t>6.16</w:t>
      </w:r>
      <w:r>
        <w:rPr>
          <w:rFonts w:ascii="Arial" w:hAnsi="Arial" w:cs="Arial"/>
        </w:rPr>
        <w:tab/>
      </w:r>
      <w:r w:rsidR="00851D05">
        <w:rPr>
          <w:rFonts w:ascii="Arial" w:hAnsi="Arial" w:cs="Arial"/>
        </w:rPr>
        <w:t>In Lancashire, Blackpool, Blackburn with Darw</w:t>
      </w:r>
      <w:r>
        <w:rPr>
          <w:rFonts w:ascii="Arial" w:hAnsi="Arial" w:cs="Arial"/>
        </w:rPr>
        <w:t>e</w:t>
      </w:r>
      <w:r w:rsidR="00851D05">
        <w:rPr>
          <w:rFonts w:ascii="Arial" w:hAnsi="Arial" w:cs="Arial"/>
        </w:rPr>
        <w:t xml:space="preserve">n and Burnley are the only areas </w:t>
      </w:r>
    </w:p>
    <w:p w14:paraId="7865AD3B" w14:textId="3DD869C7" w:rsidR="00851D05" w:rsidRDefault="00851D05" w:rsidP="00A80448">
      <w:pPr>
        <w:spacing w:after="0" w:line="300" w:lineRule="atLeast"/>
        <w:ind w:left="709"/>
        <w:rPr>
          <w:rFonts w:ascii="Arial" w:hAnsi="Arial" w:cs="Arial"/>
        </w:rPr>
      </w:pPr>
      <w:r>
        <w:rPr>
          <w:rFonts w:ascii="Arial" w:hAnsi="Arial" w:cs="Arial"/>
        </w:rPr>
        <w:t xml:space="preserve">which have more indices in the top 10%.  </w:t>
      </w:r>
      <w:r w:rsidR="00A80448" w:rsidRPr="00A80448">
        <w:rPr>
          <w:rFonts w:ascii="Arial" w:hAnsi="Arial" w:cs="Arial"/>
        </w:rPr>
        <w:t>The crime index has increased since 2019,</w:t>
      </w:r>
      <w:r w:rsidR="00A80448">
        <w:rPr>
          <w:rFonts w:ascii="Arial" w:hAnsi="Arial" w:cs="Arial"/>
        </w:rPr>
        <w:t xml:space="preserve"> </w:t>
      </w:r>
      <w:r w:rsidR="00A80448" w:rsidRPr="00A80448">
        <w:rPr>
          <w:rFonts w:ascii="Arial" w:hAnsi="Arial" w:cs="Arial"/>
        </w:rPr>
        <w:t>moving from a ranking of 2 to 1 and placing the area within the top 10%.</w:t>
      </w:r>
      <w:r w:rsidR="00A80448">
        <w:rPr>
          <w:rFonts w:ascii="Arial" w:hAnsi="Arial" w:cs="Arial"/>
        </w:rPr>
        <w:t xml:space="preserve"> </w:t>
      </w:r>
      <w:r>
        <w:rPr>
          <w:rFonts w:ascii="Arial" w:hAnsi="Arial" w:cs="Arial"/>
        </w:rPr>
        <w:t xml:space="preserve">A table setting out the indices for Lancashire is appended to this paper at </w:t>
      </w:r>
      <w:r w:rsidRPr="00DC4302">
        <w:rPr>
          <w:rFonts w:ascii="Arial" w:hAnsi="Arial" w:cs="Arial"/>
        </w:rPr>
        <w:t>Appendix 3.</w:t>
      </w:r>
    </w:p>
    <w:p w14:paraId="41F8FCC4" w14:textId="77777777" w:rsidR="00A80448" w:rsidRDefault="00A80448" w:rsidP="00851D05">
      <w:pPr>
        <w:spacing w:after="0" w:line="300" w:lineRule="atLeast"/>
        <w:ind w:left="709"/>
        <w:rPr>
          <w:rFonts w:ascii="Arial" w:hAnsi="Arial" w:cs="Arial"/>
        </w:rPr>
      </w:pPr>
    </w:p>
    <w:p w14:paraId="1F11502F" w14:textId="537E3F60" w:rsidR="00851D05" w:rsidRPr="00851D05" w:rsidRDefault="00851D05" w:rsidP="00851D05">
      <w:pPr>
        <w:pStyle w:val="ListParagraph"/>
        <w:spacing w:after="0" w:line="300" w:lineRule="atLeast"/>
        <w:ind w:left="709"/>
        <w:rPr>
          <w:rFonts w:ascii="Arial" w:hAnsi="Arial" w:cs="Arial"/>
          <w:b/>
          <w:bCs/>
        </w:rPr>
      </w:pPr>
      <w:r w:rsidRPr="00851D05">
        <w:rPr>
          <w:rFonts w:ascii="Arial" w:hAnsi="Arial" w:cs="Arial"/>
          <w:b/>
          <w:bCs/>
        </w:rPr>
        <w:t xml:space="preserve">Table 4 - Lancashire District level rankings 2004 to 2019 indicating relative ranking compared to England rankings.  1 being the most deprived, 317 least deprived.  </w:t>
      </w:r>
    </w:p>
    <w:tbl>
      <w:tblPr>
        <w:tblpPr w:leftFromText="180" w:rightFromText="180" w:vertAnchor="text" w:horzAnchor="margin" w:tblpXSpec="right" w:tblpY="141"/>
        <w:tblW w:w="8221" w:type="dxa"/>
        <w:tblCellMar>
          <w:left w:w="0" w:type="dxa"/>
          <w:right w:w="0" w:type="dxa"/>
        </w:tblCellMar>
        <w:tblLook w:val="04A0" w:firstRow="1" w:lastRow="0" w:firstColumn="1" w:lastColumn="0" w:noHBand="0" w:noVBand="1"/>
      </w:tblPr>
      <w:tblGrid>
        <w:gridCol w:w="1701"/>
        <w:gridCol w:w="1417"/>
        <w:gridCol w:w="1276"/>
        <w:gridCol w:w="1276"/>
        <w:gridCol w:w="1275"/>
        <w:gridCol w:w="1276"/>
      </w:tblGrid>
      <w:tr w:rsidR="003578F4" w:rsidRPr="00E810AA" w14:paraId="1F69B675" w14:textId="77777777" w:rsidTr="00851D05">
        <w:trPr>
          <w:trHeight w:val="973"/>
        </w:trPr>
        <w:tc>
          <w:tcPr>
            <w:tcW w:w="1701" w:type="dxa"/>
            <w:tcBorders>
              <w:top w:val="single" w:sz="8" w:space="0" w:color="auto"/>
              <w:left w:val="single" w:sz="8" w:space="0" w:color="auto"/>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4DF35A4C" w14:textId="77777777" w:rsidR="003578F4" w:rsidRPr="00EF41E0" w:rsidRDefault="003578F4" w:rsidP="003578F4">
            <w:pPr>
              <w:spacing w:after="0" w:line="300" w:lineRule="atLeast"/>
              <w:rPr>
                <w:rFonts w:ascii="Arial" w:eastAsia="Calibri" w:hAnsi="Arial" w:cs="Arial"/>
                <w:b/>
                <w:bCs/>
                <w:color w:val="FFFFFF" w:themeColor="background1"/>
                <w:lang w:eastAsia="en-GB"/>
              </w:rPr>
            </w:pPr>
            <w:r w:rsidRPr="00EF41E0">
              <w:rPr>
                <w:rFonts w:ascii="Arial" w:eastAsia="Calibri" w:hAnsi="Arial" w:cs="Arial"/>
                <w:b/>
                <w:bCs/>
                <w:color w:val="FFFFFF" w:themeColor="background1"/>
                <w:lang w:eastAsia="en-GB"/>
              </w:rPr>
              <w:t>Lancashire LA (Ranked order)</w:t>
            </w:r>
          </w:p>
        </w:tc>
        <w:tc>
          <w:tcPr>
            <w:tcW w:w="1417" w:type="dxa"/>
            <w:tcBorders>
              <w:top w:val="single" w:sz="8" w:space="0" w:color="auto"/>
              <w:left w:val="nil"/>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0BDBEB08" w14:textId="77777777" w:rsidR="003578F4" w:rsidRPr="00EF41E0" w:rsidRDefault="003578F4" w:rsidP="003578F4">
            <w:pPr>
              <w:spacing w:after="0" w:line="300" w:lineRule="atLeast"/>
              <w:rPr>
                <w:rFonts w:ascii="Arial" w:eastAsia="Calibri" w:hAnsi="Arial" w:cs="Arial"/>
                <w:b/>
                <w:bCs/>
                <w:color w:val="FFFFFF" w:themeColor="background1"/>
                <w:sz w:val="20"/>
                <w:szCs w:val="20"/>
                <w:lang w:eastAsia="en-GB"/>
              </w:rPr>
            </w:pPr>
            <w:r w:rsidRPr="00EF41E0">
              <w:rPr>
                <w:rFonts w:ascii="Arial" w:eastAsia="Calibri" w:hAnsi="Arial" w:cs="Arial"/>
                <w:b/>
                <w:bCs/>
                <w:color w:val="FFFFFF" w:themeColor="background1"/>
                <w:sz w:val="20"/>
                <w:szCs w:val="20"/>
                <w:lang w:eastAsia="en-GB"/>
              </w:rPr>
              <w:t>2004 rank of average score</w:t>
            </w:r>
          </w:p>
        </w:tc>
        <w:tc>
          <w:tcPr>
            <w:tcW w:w="1276" w:type="dxa"/>
            <w:tcBorders>
              <w:top w:val="single" w:sz="8" w:space="0" w:color="auto"/>
              <w:left w:val="nil"/>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0ED44815" w14:textId="77777777" w:rsidR="003578F4" w:rsidRPr="00EF41E0" w:rsidRDefault="003578F4" w:rsidP="003578F4">
            <w:pPr>
              <w:spacing w:after="0" w:line="300" w:lineRule="atLeast"/>
              <w:rPr>
                <w:rFonts w:ascii="Arial" w:eastAsia="Calibri" w:hAnsi="Arial" w:cs="Arial"/>
                <w:b/>
                <w:bCs/>
                <w:color w:val="FFFFFF" w:themeColor="background1"/>
                <w:sz w:val="20"/>
                <w:szCs w:val="20"/>
                <w:lang w:eastAsia="en-GB"/>
              </w:rPr>
            </w:pPr>
            <w:r w:rsidRPr="00EF41E0">
              <w:rPr>
                <w:rFonts w:ascii="Arial" w:eastAsia="Calibri" w:hAnsi="Arial" w:cs="Arial"/>
                <w:b/>
                <w:bCs/>
                <w:color w:val="FFFFFF" w:themeColor="background1"/>
                <w:sz w:val="20"/>
                <w:szCs w:val="20"/>
                <w:lang w:eastAsia="en-GB"/>
              </w:rPr>
              <w:t>2007 rank of average score</w:t>
            </w:r>
          </w:p>
        </w:tc>
        <w:tc>
          <w:tcPr>
            <w:tcW w:w="1276"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bottom"/>
            <w:hideMark/>
          </w:tcPr>
          <w:p w14:paraId="00DE0D9F" w14:textId="77777777" w:rsidR="003578F4" w:rsidRPr="00EF41E0" w:rsidRDefault="003578F4" w:rsidP="003578F4">
            <w:pPr>
              <w:spacing w:after="0" w:line="300" w:lineRule="atLeast"/>
              <w:rPr>
                <w:rFonts w:ascii="Arial" w:eastAsia="Calibri" w:hAnsi="Arial" w:cs="Arial"/>
                <w:b/>
                <w:bCs/>
                <w:color w:val="FFFFFF" w:themeColor="background1"/>
                <w:sz w:val="20"/>
                <w:szCs w:val="20"/>
                <w:lang w:eastAsia="en-GB"/>
              </w:rPr>
            </w:pPr>
            <w:r w:rsidRPr="00EF41E0">
              <w:rPr>
                <w:rFonts w:ascii="Arial" w:eastAsia="Calibri" w:hAnsi="Arial" w:cs="Arial"/>
                <w:b/>
                <w:bCs/>
                <w:color w:val="FFFFFF" w:themeColor="background1"/>
                <w:sz w:val="20"/>
                <w:szCs w:val="20"/>
                <w:lang w:eastAsia="en-GB"/>
              </w:rPr>
              <w:t>2010 rank of average score</w:t>
            </w:r>
          </w:p>
        </w:tc>
        <w:tc>
          <w:tcPr>
            <w:tcW w:w="1275"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bottom"/>
            <w:hideMark/>
          </w:tcPr>
          <w:p w14:paraId="61BD44E2" w14:textId="77777777" w:rsidR="003578F4" w:rsidRPr="00EF41E0" w:rsidRDefault="003578F4" w:rsidP="003578F4">
            <w:pPr>
              <w:spacing w:after="0" w:line="300" w:lineRule="atLeast"/>
              <w:rPr>
                <w:rFonts w:ascii="Arial" w:eastAsia="Calibri" w:hAnsi="Arial" w:cs="Arial"/>
                <w:b/>
                <w:bCs/>
                <w:color w:val="FFFFFF" w:themeColor="background1"/>
                <w:sz w:val="20"/>
                <w:szCs w:val="20"/>
                <w:lang w:eastAsia="en-GB"/>
              </w:rPr>
            </w:pPr>
            <w:r w:rsidRPr="00EF41E0">
              <w:rPr>
                <w:rFonts w:ascii="Arial" w:eastAsia="Calibri" w:hAnsi="Arial" w:cs="Arial"/>
                <w:b/>
                <w:bCs/>
                <w:color w:val="FFFFFF" w:themeColor="background1"/>
                <w:sz w:val="20"/>
                <w:szCs w:val="20"/>
                <w:lang w:eastAsia="en-GB"/>
              </w:rPr>
              <w:t>2015 rank of average score</w:t>
            </w:r>
          </w:p>
        </w:tc>
        <w:tc>
          <w:tcPr>
            <w:tcW w:w="1276"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35086DD1" w14:textId="77777777" w:rsidR="003578F4" w:rsidRPr="00EF41E0" w:rsidRDefault="003578F4" w:rsidP="003578F4">
            <w:pPr>
              <w:spacing w:after="0" w:line="300" w:lineRule="atLeast"/>
              <w:jc w:val="both"/>
              <w:rPr>
                <w:rFonts w:ascii="Arial" w:eastAsia="Calibri" w:hAnsi="Arial" w:cs="Arial"/>
                <w:b/>
                <w:bCs/>
                <w:color w:val="FFFFFF" w:themeColor="background1"/>
                <w:sz w:val="20"/>
                <w:szCs w:val="20"/>
                <w:lang w:eastAsia="en-GB"/>
              </w:rPr>
            </w:pPr>
            <w:r w:rsidRPr="00EF41E0">
              <w:rPr>
                <w:rFonts w:ascii="Arial" w:eastAsia="Calibri" w:hAnsi="Arial" w:cs="Arial"/>
                <w:b/>
                <w:bCs/>
                <w:color w:val="FFFFFF" w:themeColor="background1"/>
                <w:sz w:val="20"/>
                <w:szCs w:val="20"/>
                <w:lang w:eastAsia="en-GB"/>
              </w:rPr>
              <w:t>2019 rank of average score</w:t>
            </w:r>
          </w:p>
        </w:tc>
      </w:tr>
      <w:tr w:rsidR="003578F4" w:rsidRPr="00E810AA" w14:paraId="48368344"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895D94"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Blackpool</w:t>
            </w:r>
            <w:r>
              <w:rPr>
                <w:rFonts w:ascii="Arial" w:eastAsia="Calibri" w:hAnsi="Arial" w:cs="Arial"/>
                <w:lang w:eastAsia="en-GB"/>
              </w:rPr>
              <w:t xml:space="preserve">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D7BDA5"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935CB2"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581F50"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B60347"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0A86BA6"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w:t>
            </w:r>
          </w:p>
        </w:tc>
      </w:tr>
      <w:tr w:rsidR="003578F4" w:rsidRPr="00E810AA" w14:paraId="07ECC244"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5697E0"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Burnley</w:t>
            </w:r>
            <w:r>
              <w:rPr>
                <w:rFonts w:ascii="Arial" w:eastAsia="Calibri" w:hAnsi="Arial" w:cs="Arial"/>
                <w:lang w:eastAsia="en-GB"/>
              </w:rPr>
              <w:t xml:space="preserve">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D53DB"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37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56A631"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327108"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11</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270178"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1702FF6"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8</w:t>
            </w:r>
          </w:p>
        </w:tc>
      </w:tr>
      <w:tr w:rsidR="003578F4" w:rsidRPr="00E810AA" w14:paraId="15C584E9"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E572A3" w14:textId="77777777" w:rsidR="003578F4" w:rsidRPr="00E810AA" w:rsidRDefault="003578F4" w:rsidP="003578F4">
            <w:pPr>
              <w:spacing w:after="0" w:line="300" w:lineRule="atLeast"/>
              <w:rPr>
                <w:rFonts w:ascii="Arial" w:eastAsia="Calibri" w:hAnsi="Arial" w:cs="Arial"/>
                <w:lang w:eastAsia="en-GB"/>
              </w:rPr>
            </w:pPr>
            <w:proofErr w:type="spellStart"/>
            <w:r w:rsidRPr="00E810AA">
              <w:rPr>
                <w:rFonts w:ascii="Arial" w:eastAsia="Calibri" w:hAnsi="Arial" w:cs="Arial"/>
                <w:lang w:eastAsia="en-GB"/>
              </w:rPr>
              <w:t>BwD</w:t>
            </w:r>
            <w:proofErr w:type="spellEnd"/>
            <w:r>
              <w:rPr>
                <w:rFonts w:ascii="Arial" w:eastAsia="Calibri" w:hAnsi="Arial" w:cs="Arial"/>
                <w:lang w:eastAsia="en-GB"/>
              </w:rPr>
              <w:t xml:space="preserve">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6B9914"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34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C6124"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8789DA"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C05FFE"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92F470D"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9</w:t>
            </w:r>
          </w:p>
        </w:tc>
      </w:tr>
      <w:tr w:rsidR="003578F4" w:rsidRPr="00E810AA" w14:paraId="1326EA31" w14:textId="77777777" w:rsidTr="00851D05">
        <w:trPr>
          <w:trHeight w:val="255"/>
        </w:trPr>
        <w:tc>
          <w:tcPr>
            <w:tcW w:w="1701" w:type="dxa"/>
            <w:tcBorders>
              <w:top w:val="nil"/>
              <w:left w:val="single" w:sz="8" w:space="0" w:color="auto"/>
              <w:bottom w:val="single" w:sz="8" w:space="0" w:color="auto"/>
              <w:right w:val="single" w:sz="8" w:space="0" w:color="auto"/>
            </w:tcBorders>
            <w:shd w:val="clear" w:color="auto" w:fill="CCC0D9"/>
            <w:noWrap/>
            <w:tcMar>
              <w:top w:w="0" w:type="dxa"/>
              <w:left w:w="108" w:type="dxa"/>
              <w:bottom w:w="0" w:type="dxa"/>
              <w:right w:w="108" w:type="dxa"/>
            </w:tcMar>
            <w:vAlign w:val="bottom"/>
            <w:hideMark/>
          </w:tcPr>
          <w:p w14:paraId="55889830" w14:textId="77777777" w:rsidR="003578F4" w:rsidRPr="00E810AA" w:rsidRDefault="003578F4" w:rsidP="003578F4">
            <w:pPr>
              <w:spacing w:after="0" w:line="300" w:lineRule="atLeast"/>
              <w:rPr>
                <w:rFonts w:ascii="Arial" w:eastAsia="Calibri" w:hAnsi="Arial" w:cs="Arial"/>
                <w:b/>
                <w:bCs/>
                <w:lang w:eastAsia="en-GB"/>
              </w:rPr>
            </w:pPr>
            <w:r w:rsidRPr="00E810AA">
              <w:rPr>
                <w:rFonts w:ascii="Arial" w:eastAsia="Calibri" w:hAnsi="Arial" w:cs="Arial"/>
                <w:b/>
                <w:bCs/>
                <w:lang w:eastAsia="en-GB"/>
              </w:rPr>
              <w:t>Hyndburn</w:t>
            </w:r>
          </w:p>
        </w:tc>
        <w:tc>
          <w:tcPr>
            <w:tcW w:w="1417" w:type="dxa"/>
            <w:tcBorders>
              <w:top w:val="nil"/>
              <w:left w:val="nil"/>
              <w:bottom w:val="single" w:sz="8" w:space="0" w:color="auto"/>
              <w:right w:val="single" w:sz="8" w:space="0" w:color="auto"/>
            </w:tcBorders>
            <w:shd w:val="clear" w:color="auto" w:fill="CCC0D9"/>
            <w:noWrap/>
            <w:tcMar>
              <w:top w:w="0" w:type="dxa"/>
              <w:left w:w="108" w:type="dxa"/>
              <w:bottom w:w="0" w:type="dxa"/>
              <w:right w:w="108" w:type="dxa"/>
            </w:tcMar>
            <w:vAlign w:val="bottom"/>
            <w:hideMark/>
          </w:tcPr>
          <w:p w14:paraId="74435675" w14:textId="77777777" w:rsidR="003578F4" w:rsidRPr="00E810AA" w:rsidRDefault="003578F4" w:rsidP="003578F4">
            <w:pPr>
              <w:spacing w:after="0" w:line="300" w:lineRule="atLeast"/>
              <w:jc w:val="right"/>
              <w:rPr>
                <w:rFonts w:ascii="Arial" w:eastAsia="Calibri" w:hAnsi="Arial" w:cs="Arial"/>
                <w:b/>
                <w:bCs/>
                <w:lang w:eastAsia="en-GB"/>
              </w:rPr>
            </w:pPr>
            <w:r w:rsidRPr="00E810AA">
              <w:rPr>
                <w:rFonts w:ascii="Arial" w:eastAsia="Calibri" w:hAnsi="Arial" w:cs="Arial"/>
                <w:b/>
                <w:bCs/>
                <w:lang w:eastAsia="en-GB"/>
              </w:rPr>
              <w:t>58</w:t>
            </w:r>
          </w:p>
        </w:tc>
        <w:tc>
          <w:tcPr>
            <w:tcW w:w="1276" w:type="dxa"/>
            <w:tcBorders>
              <w:top w:val="nil"/>
              <w:left w:val="nil"/>
              <w:bottom w:val="single" w:sz="8" w:space="0" w:color="auto"/>
              <w:right w:val="single" w:sz="8" w:space="0" w:color="auto"/>
            </w:tcBorders>
            <w:shd w:val="clear" w:color="auto" w:fill="CCC0D9"/>
            <w:noWrap/>
            <w:tcMar>
              <w:top w:w="0" w:type="dxa"/>
              <w:left w:w="108" w:type="dxa"/>
              <w:bottom w:w="0" w:type="dxa"/>
              <w:right w:w="108" w:type="dxa"/>
            </w:tcMar>
            <w:vAlign w:val="bottom"/>
            <w:hideMark/>
          </w:tcPr>
          <w:p w14:paraId="5658AB5B" w14:textId="77777777" w:rsidR="003578F4" w:rsidRPr="00E810AA" w:rsidRDefault="003578F4" w:rsidP="003578F4">
            <w:pPr>
              <w:spacing w:after="0" w:line="300" w:lineRule="atLeast"/>
              <w:jc w:val="right"/>
              <w:rPr>
                <w:rFonts w:ascii="Arial" w:eastAsia="Calibri" w:hAnsi="Arial" w:cs="Arial"/>
                <w:b/>
                <w:bCs/>
                <w:lang w:eastAsia="en-GB"/>
              </w:rPr>
            </w:pPr>
            <w:r w:rsidRPr="00E810AA">
              <w:rPr>
                <w:rFonts w:ascii="Arial" w:eastAsia="Calibri" w:hAnsi="Arial" w:cs="Arial"/>
                <w:b/>
                <w:bCs/>
                <w:lang w:eastAsia="en-GB"/>
              </w:rPr>
              <w:t>40</w:t>
            </w:r>
          </w:p>
        </w:tc>
        <w:tc>
          <w:tcPr>
            <w:tcW w:w="1276" w:type="dxa"/>
            <w:tcBorders>
              <w:top w:val="nil"/>
              <w:left w:val="nil"/>
              <w:bottom w:val="single" w:sz="8" w:space="0" w:color="auto"/>
              <w:right w:val="single" w:sz="8" w:space="0" w:color="auto"/>
            </w:tcBorders>
            <w:shd w:val="clear" w:color="auto" w:fill="CCC0D9"/>
            <w:tcMar>
              <w:top w:w="0" w:type="dxa"/>
              <w:left w:w="108" w:type="dxa"/>
              <w:bottom w:w="0" w:type="dxa"/>
              <w:right w:w="108" w:type="dxa"/>
            </w:tcMar>
            <w:vAlign w:val="bottom"/>
            <w:hideMark/>
          </w:tcPr>
          <w:p w14:paraId="22B2AEC8" w14:textId="77777777" w:rsidR="003578F4" w:rsidRPr="00E810AA" w:rsidRDefault="003578F4" w:rsidP="003578F4">
            <w:pPr>
              <w:spacing w:after="0" w:line="300" w:lineRule="atLeast"/>
              <w:jc w:val="right"/>
              <w:rPr>
                <w:rFonts w:ascii="Arial" w:eastAsia="Calibri" w:hAnsi="Arial" w:cs="Arial"/>
                <w:b/>
                <w:bCs/>
                <w:lang w:eastAsia="en-GB"/>
              </w:rPr>
            </w:pPr>
            <w:r w:rsidRPr="00E810AA">
              <w:rPr>
                <w:rFonts w:ascii="Arial" w:eastAsia="Calibri" w:hAnsi="Arial" w:cs="Arial"/>
                <w:b/>
                <w:bCs/>
                <w:lang w:eastAsia="en-GB"/>
              </w:rPr>
              <w:t>34</w:t>
            </w:r>
          </w:p>
        </w:tc>
        <w:tc>
          <w:tcPr>
            <w:tcW w:w="1275" w:type="dxa"/>
            <w:tcBorders>
              <w:top w:val="nil"/>
              <w:left w:val="nil"/>
              <w:bottom w:val="single" w:sz="8" w:space="0" w:color="auto"/>
              <w:right w:val="single" w:sz="8" w:space="0" w:color="auto"/>
            </w:tcBorders>
            <w:shd w:val="clear" w:color="auto" w:fill="CCC0D9"/>
            <w:tcMar>
              <w:top w:w="0" w:type="dxa"/>
              <w:left w:w="108" w:type="dxa"/>
              <w:bottom w:w="0" w:type="dxa"/>
              <w:right w:w="108" w:type="dxa"/>
            </w:tcMar>
            <w:vAlign w:val="bottom"/>
            <w:hideMark/>
          </w:tcPr>
          <w:p w14:paraId="3BE7F7A3" w14:textId="77777777" w:rsidR="003578F4" w:rsidRPr="00E810AA" w:rsidRDefault="003578F4" w:rsidP="003578F4">
            <w:pPr>
              <w:spacing w:after="0" w:line="300" w:lineRule="atLeast"/>
              <w:jc w:val="right"/>
              <w:rPr>
                <w:rFonts w:ascii="Arial" w:eastAsia="Calibri" w:hAnsi="Arial" w:cs="Arial"/>
                <w:b/>
                <w:bCs/>
                <w:lang w:eastAsia="en-GB"/>
              </w:rPr>
            </w:pPr>
            <w:r w:rsidRPr="00E810AA">
              <w:rPr>
                <w:rFonts w:ascii="Arial" w:eastAsia="Calibri" w:hAnsi="Arial" w:cs="Arial"/>
                <w:b/>
                <w:bCs/>
                <w:lang w:eastAsia="en-GB"/>
              </w:rPr>
              <w:t>26</w:t>
            </w:r>
          </w:p>
        </w:tc>
        <w:tc>
          <w:tcPr>
            <w:tcW w:w="1276" w:type="dxa"/>
            <w:tcBorders>
              <w:top w:val="nil"/>
              <w:left w:val="nil"/>
              <w:bottom w:val="single" w:sz="8" w:space="0" w:color="auto"/>
              <w:right w:val="single" w:sz="8" w:space="0" w:color="auto"/>
            </w:tcBorders>
            <w:shd w:val="clear" w:color="auto" w:fill="CCC0D9"/>
            <w:tcMar>
              <w:top w:w="0" w:type="dxa"/>
              <w:left w:w="108" w:type="dxa"/>
              <w:bottom w:w="0" w:type="dxa"/>
              <w:right w:w="108" w:type="dxa"/>
            </w:tcMar>
            <w:hideMark/>
          </w:tcPr>
          <w:p w14:paraId="4D13FEE8" w14:textId="77777777" w:rsidR="003578F4" w:rsidRPr="00E810AA" w:rsidRDefault="003578F4" w:rsidP="003578F4">
            <w:pPr>
              <w:spacing w:after="0" w:line="300" w:lineRule="atLeast"/>
              <w:jc w:val="right"/>
              <w:rPr>
                <w:rFonts w:ascii="Arial" w:eastAsia="Calibri" w:hAnsi="Arial" w:cs="Arial"/>
                <w:b/>
                <w:bCs/>
                <w:lang w:eastAsia="en-GB"/>
              </w:rPr>
            </w:pPr>
            <w:r w:rsidRPr="00E810AA">
              <w:rPr>
                <w:rFonts w:ascii="Arial" w:eastAsia="Calibri" w:hAnsi="Arial" w:cs="Arial"/>
                <w:b/>
                <w:bCs/>
                <w:lang w:eastAsia="en-GB"/>
              </w:rPr>
              <w:t>16</w:t>
            </w:r>
          </w:p>
        </w:tc>
      </w:tr>
      <w:tr w:rsidR="003578F4" w:rsidRPr="00E810AA" w14:paraId="32FF0BAB"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F32075"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Pendle</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310D5B"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71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A48A2"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44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2129E4"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33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51151F"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38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DA44BDC"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33</w:t>
            </w:r>
          </w:p>
        </w:tc>
      </w:tr>
      <w:tr w:rsidR="003578F4" w:rsidRPr="00E810AA" w14:paraId="71FFA326"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6F634D"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Preston</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418C6A"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59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499B2"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48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791DAD"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45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7451C8"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61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F7260FD"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45</w:t>
            </w:r>
          </w:p>
        </w:tc>
      </w:tr>
      <w:tr w:rsidR="003578F4" w:rsidRPr="00E810AA" w14:paraId="7660D1F3"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22CF74"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Lancaster</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7D8FA7"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107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FCAC8C"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743727"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116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7480CC"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105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D7E03B3"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89</w:t>
            </w:r>
          </w:p>
        </w:tc>
      </w:tr>
      <w:tr w:rsidR="003578F4" w:rsidRPr="00E810AA" w14:paraId="23B493A4"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635501"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Rossendale</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C0FFC6"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92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2124E0"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92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9065F7"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98</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A47E3D"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108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88BBBE7"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92</w:t>
            </w:r>
          </w:p>
        </w:tc>
      </w:tr>
      <w:tr w:rsidR="003578F4" w:rsidRPr="00E810AA" w14:paraId="7E4996B7"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90C4D5"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Wyre</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DBF972"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161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FD4AA0"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170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24CF84"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163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39CA4D"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145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12D386"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124</w:t>
            </w:r>
          </w:p>
        </w:tc>
      </w:tr>
      <w:tr w:rsidR="003578F4" w:rsidRPr="00E810AA" w14:paraId="2AAB3ACA"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27DEEB"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West Lancashire</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9FC1B3"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127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6D22E"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141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4A2CF8"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136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ABDC1E"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139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3284351"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155</w:t>
            </w:r>
          </w:p>
        </w:tc>
      </w:tr>
      <w:tr w:rsidR="003578F4" w:rsidRPr="00E810AA" w14:paraId="0E2D6922"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FB325A"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Chorley</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C74771"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172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C7BFD"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188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FD6CC2"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156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420BC5"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175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ACA4E60"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177</w:t>
            </w:r>
          </w:p>
        </w:tc>
      </w:tr>
      <w:tr w:rsidR="003578F4" w:rsidRPr="00E810AA" w14:paraId="10B979D6"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26EFED"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Fylde</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F483E"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240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1330CB"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251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438D0E"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236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86F322"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32A16CC"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195</w:t>
            </w:r>
          </w:p>
        </w:tc>
      </w:tr>
      <w:tr w:rsidR="003578F4" w:rsidRPr="00E810AA" w14:paraId="6C9978ED"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83C588"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South Ribble</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3DD47C"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229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D9054"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66ED4F"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206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AAE736"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229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074D198"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204</w:t>
            </w:r>
          </w:p>
        </w:tc>
      </w:tr>
      <w:tr w:rsidR="003578F4" w:rsidRPr="00E810AA" w14:paraId="649AF952" w14:textId="77777777" w:rsidTr="00851D05">
        <w:trPr>
          <w:trHeight w:val="255"/>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C10B97" w14:textId="77777777" w:rsidR="003578F4" w:rsidRPr="00E810AA" w:rsidRDefault="003578F4" w:rsidP="003578F4">
            <w:pPr>
              <w:spacing w:after="0" w:line="300" w:lineRule="atLeast"/>
              <w:rPr>
                <w:rFonts w:ascii="Arial" w:eastAsia="Calibri" w:hAnsi="Arial" w:cs="Arial"/>
                <w:lang w:eastAsia="en-GB"/>
              </w:rPr>
            </w:pPr>
            <w:r w:rsidRPr="00E810AA">
              <w:rPr>
                <w:rFonts w:ascii="Arial" w:eastAsia="Calibri" w:hAnsi="Arial" w:cs="Arial"/>
                <w:lang w:eastAsia="en-GB"/>
              </w:rPr>
              <w:t>Ribble Valley</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E6847C"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288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7560B7"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302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0C13E2"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290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63C946"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292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72D6C28" w14:textId="77777777" w:rsidR="003578F4" w:rsidRPr="00E810AA" w:rsidRDefault="003578F4" w:rsidP="003578F4">
            <w:pPr>
              <w:spacing w:after="0" w:line="300" w:lineRule="atLeast"/>
              <w:jc w:val="right"/>
              <w:rPr>
                <w:rFonts w:ascii="Arial" w:eastAsia="Calibri" w:hAnsi="Arial" w:cs="Arial"/>
                <w:lang w:eastAsia="en-GB"/>
              </w:rPr>
            </w:pPr>
            <w:r w:rsidRPr="00E810AA">
              <w:rPr>
                <w:rFonts w:ascii="Arial" w:eastAsia="Calibri" w:hAnsi="Arial" w:cs="Arial"/>
                <w:lang w:eastAsia="en-GB"/>
              </w:rPr>
              <w:t>283</w:t>
            </w:r>
          </w:p>
        </w:tc>
      </w:tr>
    </w:tbl>
    <w:p w14:paraId="01FE8D5B" w14:textId="77777777" w:rsidR="00896F7D" w:rsidRDefault="00896F7D" w:rsidP="00A80448">
      <w:pPr>
        <w:spacing w:after="0" w:line="300" w:lineRule="atLeast"/>
        <w:rPr>
          <w:rFonts w:ascii="Arial" w:hAnsi="Arial" w:cs="Arial"/>
        </w:rPr>
      </w:pPr>
    </w:p>
    <w:p w14:paraId="2626EFC3" w14:textId="77777777" w:rsidR="00A80448" w:rsidRPr="00A80448" w:rsidRDefault="00A80448" w:rsidP="00A80448">
      <w:pPr>
        <w:spacing w:after="0" w:line="300" w:lineRule="atLeast"/>
        <w:rPr>
          <w:rFonts w:ascii="Arial" w:hAnsi="Arial" w:cs="Arial"/>
        </w:rPr>
      </w:pPr>
    </w:p>
    <w:p w14:paraId="2F6B7427" w14:textId="77777777" w:rsidR="00AB1AF1" w:rsidRPr="00E810AA" w:rsidRDefault="00AB1AF1" w:rsidP="00E810AA">
      <w:pPr>
        <w:spacing w:after="0" w:line="300" w:lineRule="atLeast"/>
        <w:rPr>
          <w:rFonts w:ascii="Arial" w:hAnsi="Arial" w:cs="Arial"/>
        </w:rPr>
      </w:pPr>
    </w:p>
    <w:p w14:paraId="3B37405C" w14:textId="77777777" w:rsidR="00A80448" w:rsidRDefault="00A80448" w:rsidP="00A80448">
      <w:pPr>
        <w:pStyle w:val="ListParagraph"/>
        <w:spacing w:after="0" w:line="300" w:lineRule="atLeast"/>
        <w:contextualSpacing w:val="0"/>
        <w:rPr>
          <w:rFonts w:ascii="Arial" w:hAnsi="Arial" w:cs="Arial"/>
        </w:rPr>
      </w:pPr>
    </w:p>
    <w:p w14:paraId="04D92F03" w14:textId="3EC8DF9C" w:rsidR="00AB1AF1" w:rsidRPr="00A80448" w:rsidRDefault="00DC4302" w:rsidP="00A80448">
      <w:pPr>
        <w:pStyle w:val="ListParagraph"/>
        <w:numPr>
          <w:ilvl w:val="1"/>
          <w:numId w:val="36"/>
        </w:numPr>
        <w:spacing w:after="0" w:line="300" w:lineRule="atLeast"/>
        <w:ind w:left="720" w:hanging="720"/>
        <w:contextualSpacing w:val="0"/>
        <w:rPr>
          <w:rFonts w:ascii="Arial" w:hAnsi="Arial" w:cs="Arial"/>
        </w:rPr>
      </w:pPr>
      <w:r>
        <w:rPr>
          <w:rFonts w:ascii="Arial" w:hAnsi="Arial" w:cs="Arial"/>
        </w:rPr>
        <w:t>Map 2</w:t>
      </w:r>
      <w:r w:rsidR="00AB1AF1" w:rsidRPr="00E810AA">
        <w:rPr>
          <w:rFonts w:ascii="Arial" w:hAnsi="Arial" w:cs="Arial"/>
        </w:rPr>
        <w:t xml:space="preserve"> below</w:t>
      </w:r>
      <w:r w:rsidR="001F5092" w:rsidRPr="00E810AA">
        <w:rPr>
          <w:rFonts w:ascii="Arial" w:hAnsi="Arial" w:cs="Arial"/>
        </w:rPr>
        <w:t xml:space="preserve"> </w:t>
      </w:r>
      <w:r w:rsidR="00665FFD" w:rsidRPr="00E810AA">
        <w:rPr>
          <w:rFonts w:ascii="Arial" w:hAnsi="Arial" w:cs="Arial"/>
        </w:rPr>
        <w:t>is</w:t>
      </w:r>
      <w:r w:rsidR="001F5092" w:rsidRPr="00E810AA">
        <w:rPr>
          <w:rFonts w:ascii="Arial" w:hAnsi="Arial" w:cs="Arial"/>
        </w:rPr>
        <w:t xml:space="preserve"> the Hyndburn Lower</w:t>
      </w:r>
      <w:r w:rsidR="00665FFD" w:rsidRPr="00E810AA">
        <w:rPr>
          <w:rFonts w:ascii="Arial" w:hAnsi="Arial" w:cs="Arial"/>
        </w:rPr>
        <w:t xml:space="preserve"> Super Output Area deprivation map</w:t>
      </w:r>
      <w:r w:rsidR="00A8466F">
        <w:rPr>
          <w:rFonts w:ascii="Arial" w:hAnsi="Arial" w:cs="Arial"/>
        </w:rPr>
        <w:t xml:space="preserve"> for</w:t>
      </w:r>
      <w:r w:rsidR="00A80448">
        <w:rPr>
          <w:rFonts w:ascii="Arial" w:hAnsi="Arial" w:cs="Arial"/>
        </w:rPr>
        <w:t xml:space="preserve"> </w:t>
      </w:r>
      <w:r w:rsidR="00A8466F" w:rsidRPr="00A80448">
        <w:rPr>
          <w:rFonts w:ascii="Arial" w:hAnsi="Arial" w:cs="Arial"/>
        </w:rPr>
        <w:t>2025</w:t>
      </w:r>
      <w:r w:rsidR="00665FFD" w:rsidRPr="00A80448">
        <w:rPr>
          <w:rFonts w:ascii="Arial" w:hAnsi="Arial" w:cs="Arial"/>
        </w:rPr>
        <w:t>.</w:t>
      </w:r>
      <w:r w:rsidR="00A80448">
        <w:rPr>
          <w:rFonts w:ascii="Arial" w:hAnsi="Arial" w:cs="Arial"/>
        </w:rPr>
        <w:t xml:space="preserve"> </w:t>
      </w:r>
      <w:r w:rsidR="00665FFD" w:rsidRPr="00A80448">
        <w:rPr>
          <w:rFonts w:ascii="Arial" w:hAnsi="Arial" w:cs="Arial"/>
        </w:rPr>
        <w:t>The</w:t>
      </w:r>
      <w:r w:rsidR="00A8466F" w:rsidRPr="00A80448">
        <w:rPr>
          <w:rFonts w:ascii="Arial" w:hAnsi="Arial" w:cs="Arial"/>
        </w:rPr>
        <w:t xml:space="preserve"> </w:t>
      </w:r>
      <w:r w:rsidR="00665FFD" w:rsidRPr="00A80448">
        <w:rPr>
          <w:rFonts w:ascii="Arial" w:hAnsi="Arial" w:cs="Arial"/>
        </w:rPr>
        <w:t>darker the colour</w:t>
      </w:r>
      <w:r w:rsidR="00A80448" w:rsidRPr="00A80448">
        <w:rPr>
          <w:rFonts w:ascii="Arial" w:hAnsi="Arial" w:cs="Arial"/>
        </w:rPr>
        <w:t>,</w:t>
      </w:r>
      <w:r w:rsidR="00665FFD" w:rsidRPr="00A80448">
        <w:rPr>
          <w:rFonts w:ascii="Arial" w:hAnsi="Arial" w:cs="Arial"/>
        </w:rPr>
        <w:t xml:space="preserve"> the more deprived the area.</w:t>
      </w:r>
      <w:r w:rsidR="00AB1AF1" w:rsidRPr="00A80448">
        <w:rPr>
          <w:rFonts w:ascii="Arial" w:hAnsi="Arial" w:cs="Arial"/>
        </w:rPr>
        <w:t xml:space="preserve"> </w:t>
      </w:r>
    </w:p>
    <w:p w14:paraId="1AED476E" w14:textId="77777777" w:rsidR="00AB1AF1" w:rsidRPr="00EE6F2C" w:rsidRDefault="00AB1AF1" w:rsidP="00EE6F2C">
      <w:pPr>
        <w:spacing w:after="0" w:line="300" w:lineRule="atLeast"/>
        <w:rPr>
          <w:rFonts w:ascii="Arial" w:hAnsi="Arial" w:cs="Arial"/>
        </w:rPr>
      </w:pPr>
    </w:p>
    <w:p w14:paraId="1F94EBA5" w14:textId="7B61BA6D" w:rsidR="00DC4302" w:rsidRDefault="00A8466F" w:rsidP="00A80448">
      <w:pPr>
        <w:keepNext/>
        <w:spacing w:after="0" w:line="300" w:lineRule="atLeast"/>
        <w:jc w:val="center"/>
      </w:pPr>
      <w:r w:rsidRPr="00A8466F">
        <w:rPr>
          <w:rFonts w:ascii="Arial" w:hAnsi="Arial" w:cs="Arial"/>
          <w:noProof/>
        </w:rPr>
        <w:lastRenderedPageBreak/>
        <w:drawing>
          <wp:inline distT="0" distB="0" distL="0" distR="0" wp14:anchorId="4702B27C" wp14:editId="19DE2C99">
            <wp:extent cx="4160520" cy="4862294"/>
            <wp:effectExtent l="0" t="0" r="0" b="0"/>
            <wp:docPr id="751039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39041" name=""/>
                    <pic:cNvPicPr/>
                  </pic:nvPicPr>
                  <pic:blipFill>
                    <a:blip r:embed="rId10"/>
                    <a:stretch>
                      <a:fillRect/>
                    </a:stretch>
                  </pic:blipFill>
                  <pic:spPr>
                    <a:xfrm>
                      <a:off x="0" y="0"/>
                      <a:ext cx="4164126" cy="4866508"/>
                    </a:xfrm>
                    <a:prstGeom prst="rect">
                      <a:avLst/>
                    </a:prstGeom>
                  </pic:spPr>
                </pic:pic>
              </a:graphicData>
            </a:graphic>
          </wp:inline>
        </w:drawing>
      </w:r>
    </w:p>
    <w:p w14:paraId="771839BD" w14:textId="25A07028" w:rsidR="00A8466F" w:rsidRPr="00A80448" w:rsidRDefault="00A80448" w:rsidP="00A80448">
      <w:pPr>
        <w:pStyle w:val="Caption"/>
        <w:jc w:val="center"/>
        <w:rPr>
          <w:rFonts w:ascii="Arial" w:hAnsi="Arial" w:cs="Arial"/>
          <w:b/>
          <w:bCs/>
          <w:i w:val="0"/>
          <w:iCs w:val="0"/>
          <w:color w:val="auto"/>
          <w:sz w:val="22"/>
          <w:szCs w:val="22"/>
        </w:rPr>
      </w:pPr>
      <w:r w:rsidRPr="00A80448">
        <w:rPr>
          <w:rFonts w:ascii="Arial" w:hAnsi="Arial" w:cs="Arial"/>
          <w:b/>
          <w:bCs/>
          <w:i w:val="0"/>
          <w:iCs w:val="0"/>
          <w:color w:val="auto"/>
          <w:sz w:val="22"/>
          <w:szCs w:val="22"/>
        </w:rPr>
        <w:t>Figure</w:t>
      </w:r>
      <w:r w:rsidR="00DC4302" w:rsidRPr="00A80448">
        <w:rPr>
          <w:rFonts w:ascii="Arial" w:hAnsi="Arial" w:cs="Arial"/>
          <w:b/>
          <w:bCs/>
          <w:i w:val="0"/>
          <w:iCs w:val="0"/>
          <w:color w:val="auto"/>
          <w:sz w:val="22"/>
          <w:szCs w:val="22"/>
        </w:rPr>
        <w:t xml:space="preserve"> 2 - Hyndburn Lower Super Output Areas in terms of Deprivation</w:t>
      </w:r>
    </w:p>
    <w:p w14:paraId="04A4CFFD" w14:textId="6ECE4792" w:rsidR="00A8466F" w:rsidRPr="00A8466F" w:rsidRDefault="00A8466F" w:rsidP="00DC4302">
      <w:pPr>
        <w:pStyle w:val="ListParagraph"/>
        <w:numPr>
          <w:ilvl w:val="1"/>
          <w:numId w:val="36"/>
        </w:numPr>
        <w:ind w:left="426"/>
        <w:rPr>
          <w:rFonts w:ascii="Arial" w:hAnsi="Arial" w:cs="Arial"/>
        </w:rPr>
      </w:pPr>
      <w:r w:rsidRPr="00A8466F">
        <w:rPr>
          <w:rFonts w:ascii="Arial" w:hAnsi="Arial" w:cs="Arial"/>
        </w:rPr>
        <w:t xml:space="preserve">Set out below are the Lower Super Output Areas split into </w:t>
      </w:r>
      <w:r w:rsidR="00A80448" w:rsidRPr="00A8466F">
        <w:rPr>
          <w:rFonts w:ascii="Arial" w:hAnsi="Arial" w:cs="Arial"/>
        </w:rPr>
        <w:t>their</w:t>
      </w:r>
      <w:r w:rsidRPr="00A8466F">
        <w:rPr>
          <w:rFonts w:ascii="Arial" w:hAnsi="Arial" w:cs="Arial"/>
        </w:rPr>
        <w:t xml:space="preserve"> Ward components.  </w:t>
      </w:r>
    </w:p>
    <w:p w14:paraId="1EE3B2A8" w14:textId="12B1C38E" w:rsidR="00A8466F" w:rsidRPr="00A8466F" w:rsidRDefault="00A8466F" w:rsidP="00A8466F">
      <w:pPr>
        <w:pStyle w:val="ListParagraph"/>
        <w:rPr>
          <w:rFonts w:ascii="Arial" w:hAnsi="Arial" w:cs="Arial"/>
        </w:rPr>
      </w:pPr>
      <w:r>
        <w:rPr>
          <w:rFonts w:ascii="Arial" w:hAnsi="Arial" w:cs="Arial"/>
        </w:rPr>
        <w:t xml:space="preserve">A comparison with the 2019 Indices of Deprivation shows that nearly all the Wards bar one has in some part gone up in terms of their rankings.  The only Ward that has not gone </w:t>
      </w:r>
      <w:r w:rsidR="00BF2375">
        <w:rPr>
          <w:rFonts w:ascii="Arial" w:hAnsi="Arial" w:cs="Arial"/>
        </w:rPr>
        <w:t>up</w:t>
      </w:r>
      <w:r>
        <w:rPr>
          <w:rFonts w:ascii="Arial" w:hAnsi="Arial" w:cs="Arial"/>
        </w:rPr>
        <w:t xml:space="preserve"> is Huncoat. Going up in the ranking means that they have become more deprived. </w:t>
      </w:r>
    </w:p>
    <w:p w14:paraId="409393D4" w14:textId="025608DB" w:rsidR="00A8466F" w:rsidRPr="00A8466F" w:rsidRDefault="00A8466F" w:rsidP="00A8466F">
      <w:pPr>
        <w:rPr>
          <w:rFonts w:ascii="Arial" w:hAnsi="Arial" w:cs="Arial"/>
        </w:rPr>
      </w:pPr>
    </w:p>
    <w:p w14:paraId="16A8527F" w14:textId="46D377F9" w:rsidR="00AB1AF1" w:rsidRDefault="00AB1AF1" w:rsidP="00EE6F2C">
      <w:pPr>
        <w:spacing w:after="0" w:line="300" w:lineRule="atLeast"/>
        <w:rPr>
          <w:rFonts w:ascii="Arial" w:hAnsi="Arial" w:cs="Arial"/>
        </w:rPr>
      </w:pPr>
    </w:p>
    <w:p w14:paraId="49943FC0" w14:textId="4094F7E3" w:rsidR="00A8466F" w:rsidRDefault="00A8466F" w:rsidP="00EE6F2C">
      <w:pPr>
        <w:spacing w:after="0" w:line="300" w:lineRule="atLeast"/>
        <w:rPr>
          <w:rFonts w:ascii="Arial" w:hAnsi="Arial" w:cs="Arial"/>
        </w:rPr>
      </w:pPr>
    </w:p>
    <w:p w14:paraId="3A87148F" w14:textId="77777777" w:rsidR="00A80448" w:rsidRDefault="00A80448" w:rsidP="00EE6F2C">
      <w:pPr>
        <w:spacing w:after="0" w:line="300" w:lineRule="atLeast"/>
        <w:rPr>
          <w:rFonts w:ascii="Arial" w:hAnsi="Arial" w:cs="Arial"/>
        </w:rPr>
      </w:pPr>
    </w:p>
    <w:p w14:paraId="23F938B7" w14:textId="77777777" w:rsidR="00A80448" w:rsidRDefault="00A80448" w:rsidP="00EE6F2C">
      <w:pPr>
        <w:spacing w:after="0" w:line="300" w:lineRule="atLeast"/>
        <w:rPr>
          <w:rFonts w:ascii="Arial" w:hAnsi="Arial" w:cs="Arial"/>
        </w:rPr>
      </w:pPr>
    </w:p>
    <w:p w14:paraId="76E18FF1" w14:textId="77777777" w:rsidR="00A80448" w:rsidRDefault="00A80448" w:rsidP="00EE6F2C">
      <w:pPr>
        <w:spacing w:after="0" w:line="300" w:lineRule="atLeast"/>
        <w:rPr>
          <w:rFonts w:ascii="Arial" w:hAnsi="Arial" w:cs="Arial"/>
        </w:rPr>
      </w:pPr>
    </w:p>
    <w:p w14:paraId="55184C91" w14:textId="77777777" w:rsidR="00A80448" w:rsidRDefault="00A80448" w:rsidP="00EE6F2C">
      <w:pPr>
        <w:spacing w:after="0" w:line="300" w:lineRule="atLeast"/>
        <w:rPr>
          <w:rFonts w:ascii="Arial" w:hAnsi="Arial" w:cs="Arial"/>
        </w:rPr>
      </w:pPr>
    </w:p>
    <w:p w14:paraId="0D64E34B" w14:textId="77777777" w:rsidR="00A80448" w:rsidRDefault="00A80448" w:rsidP="00EE6F2C">
      <w:pPr>
        <w:spacing w:after="0" w:line="300" w:lineRule="atLeast"/>
        <w:rPr>
          <w:rFonts w:ascii="Arial" w:hAnsi="Arial" w:cs="Arial"/>
        </w:rPr>
      </w:pPr>
    </w:p>
    <w:p w14:paraId="5BB2A81D" w14:textId="77777777" w:rsidR="00A80448" w:rsidRDefault="00A80448" w:rsidP="00EE6F2C">
      <w:pPr>
        <w:spacing w:after="0" w:line="300" w:lineRule="atLeast"/>
        <w:rPr>
          <w:rFonts w:ascii="Arial" w:hAnsi="Arial" w:cs="Arial"/>
        </w:rPr>
      </w:pPr>
    </w:p>
    <w:p w14:paraId="3BDD7D7F" w14:textId="77777777" w:rsidR="00A80448" w:rsidRDefault="00A80448" w:rsidP="00EE6F2C">
      <w:pPr>
        <w:spacing w:after="0" w:line="300" w:lineRule="atLeast"/>
        <w:rPr>
          <w:rFonts w:ascii="Arial" w:hAnsi="Arial" w:cs="Arial"/>
        </w:rPr>
      </w:pPr>
    </w:p>
    <w:p w14:paraId="774F4DAA" w14:textId="77777777" w:rsidR="00A80448" w:rsidRDefault="00A80448" w:rsidP="00EE6F2C">
      <w:pPr>
        <w:spacing w:after="0" w:line="300" w:lineRule="atLeast"/>
        <w:rPr>
          <w:rFonts w:ascii="Arial" w:hAnsi="Arial" w:cs="Arial"/>
        </w:rPr>
      </w:pPr>
    </w:p>
    <w:p w14:paraId="5B6ECB67" w14:textId="77777777" w:rsidR="00A80448" w:rsidRDefault="00A80448" w:rsidP="00EE6F2C">
      <w:pPr>
        <w:spacing w:after="0" w:line="300" w:lineRule="atLeast"/>
        <w:rPr>
          <w:rFonts w:ascii="Arial" w:hAnsi="Arial" w:cs="Arial"/>
        </w:rPr>
      </w:pPr>
    </w:p>
    <w:p w14:paraId="56836370" w14:textId="77777777" w:rsidR="00A80448" w:rsidRDefault="00A80448" w:rsidP="00EE6F2C">
      <w:pPr>
        <w:spacing w:after="0" w:line="300" w:lineRule="atLeast"/>
        <w:rPr>
          <w:rFonts w:ascii="Arial" w:hAnsi="Arial" w:cs="Arial"/>
        </w:rPr>
      </w:pPr>
    </w:p>
    <w:p w14:paraId="48A7E851" w14:textId="281F9C83" w:rsidR="00A80448" w:rsidRPr="00A80448" w:rsidRDefault="00A80448" w:rsidP="00A80448">
      <w:pPr>
        <w:pStyle w:val="Caption"/>
        <w:ind w:firstLine="720"/>
        <w:rPr>
          <w:rFonts w:ascii="Arial" w:hAnsi="Arial" w:cs="Arial"/>
          <w:b/>
          <w:bCs/>
          <w:i w:val="0"/>
          <w:iCs w:val="0"/>
          <w:color w:val="auto"/>
          <w:sz w:val="22"/>
          <w:szCs w:val="22"/>
        </w:rPr>
      </w:pPr>
      <w:r w:rsidRPr="00A80448">
        <w:rPr>
          <w:b/>
          <w:bCs/>
          <w:i w:val="0"/>
          <w:iCs w:val="0"/>
          <w:noProof/>
          <w:color w:val="auto"/>
          <w:sz w:val="22"/>
          <w:szCs w:val="22"/>
        </w:rPr>
        <w:lastRenderedPageBreak/>
        <w:drawing>
          <wp:anchor distT="0" distB="0" distL="114300" distR="114300" simplePos="0" relativeHeight="251716608" behindDoc="0" locked="0" layoutInCell="1" allowOverlap="1" wp14:anchorId="20E88D50" wp14:editId="1C31B8F7">
            <wp:simplePos x="0" y="0"/>
            <wp:positionH relativeFrom="margin">
              <wp:posOffset>455844</wp:posOffset>
            </wp:positionH>
            <wp:positionV relativeFrom="paragraph">
              <wp:posOffset>192405</wp:posOffset>
            </wp:positionV>
            <wp:extent cx="4939116" cy="8663940"/>
            <wp:effectExtent l="0" t="0" r="0" b="3810"/>
            <wp:wrapTopAndBottom/>
            <wp:docPr id="829520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0208" cy="8665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448">
        <w:rPr>
          <w:rFonts w:ascii="Arial" w:hAnsi="Arial" w:cs="Arial"/>
          <w:b/>
          <w:bCs/>
          <w:i w:val="0"/>
          <w:iCs w:val="0"/>
          <w:color w:val="auto"/>
          <w:sz w:val="22"/>
          <w:szCs w:val="22"/>
        </w:rPr>
        <w:t xml:space="preserve">Table 5: </w:t>
      </w:r>
      <w:r w:rsidRPr="00A80448">
        <w:rPr>
          <w:rFonts w:ascii="Arial" w:hAnsi="Arial" w:cs="Arial"/>
          <w:b/>
          <w:bCs/>
          <w:i w:val="0"/>
          <w:iCs w:val="0"/>
          <w:color w:val="auto"/>
          <w:sz w:val="22"/>
          <w:szCs w:val="22"/>
        </w:rPr>
        <w:t>Indices of Deprivation</w:t>
      </w:r>
      <w:r w:rsidRPr="00A80448">
        <w:rPr>
          <w:rFonts w:ascii="Arial" w:hAnsi="Arial" w:cs="Arial"/>
          <w:b/>
          <w:bCs/>
          <w:i w:val="0"/>
          <w:iCs w:val="0"/>
          <w:color w:val="auto"/>
          <w:sz w:val="22"/>
          <w:szCs w:val="22"/>
        </w:rPr>
        <w:t xml:space="preserve"> by LSOA</w:t>
      </w:r>
    </w:p>
    <w:p w14:paraId="04007BF3" w14:textId="28951D01" w:rsidR="00EE6F2C" w:rsidRDefault="00A80448" w:rsidP="00A80448">
      <w:pPr>
        <w:spacing w:after="0" w:line="300" w:lineRule="atLeast"/>
        <w:ind w:left="709" w:hanging="709"/>
        <w:rPr>
          <w:rFonts w:ascii="Arial" w:hAnsi="Arial" w:cs="Arial"/>
        </w:rPr>
      </w:pPr>
      <w:r>
        <w:rPr>
          <w:rFonts w:ascii="Arial" w:hAnsi="Arial" w:cs="Arial"/>
        </w:rPr>
        <w:lastRenderedPageBreak/>
        <w:t>6.19</w:t>
      </w:r>
      <w:r>
        <w:rPr>
          <w:rFonts w:ascii="Arial" w:hAnsi="Arial" w:cs="Arial"/>
        </w:rPr>
        <w:tab/>
      </w:r>
      <w:r w:rsidR="00A86F4B">
        <w:rPr>
          <w:rFonts w:ascii="Arial" w:hAnsi="Arial" w:cs="Arial"/>
        </w:rPr>
        <w:t xml:space="preserve">Set out at Appendix </w:t>
      </w:r>
      <w:r w:rsidR="005A67A8">
        <w:rPr>
          <w:rFonts w:ascii="Arial" w:hAnsi="Arial" w:cs="Arial"/>
        </w:rPr>
        <w:t>4</w:t>
      </w:r>
      <w:r w:rsidR="00A86F4B">
        <w:rPr>
          <w:rFonts w:ascii="Arial" w:hAnsi="Arial" w:cs="Arial"/>
        </w:rPr>
        <w:t xml:space="preserve"> of this paper is a breakdown of the separate indices of deprivation per Ward.  </w:t>
      </w:r>
    </w:p>
    <w:p w14:paraId="67ED33D1" w14:textId="77777777" w:rsidR="00A80448" w:rsidRDefault="00A80448" w:rsidP="00E810AA">
      <w:pPr>
        <w:spacing w:after="0" w:line="300" w:lineRule="atLeast"/>
        <w:rPr>
          <w:rFonts w:ascii="Arial" w:hAnsi="Arial" w:cs="Arial"/>
        </w:rPr>
      </w:pPr>
    </w:p>
    <w:p w14:paraId="1A22C573" w14:textId="77777777" w:rsidR="00B20FB8" w:rsidRPr="00EE6F2C" w:rsidRDefault="00AC02B4" w:rsidP="00AC02B4">
      <w:pPr>
        <w:spacing w:after="0" w:line="300" w:lineRule="atLeast"/>
        <w:ind w:firstLine="709"/>
        <w:rPr>
          <w:rFonts w:ascii="Arial" w:hAnsi="Arial" w:cs="Arial"/>
          <w:b/>
        </w:rPr>
      </w:pPr>
      <w:r>
        <w:rPr>
          <w:rFonts w:ascii="Arial" w:hAnsi="Arial" w:cs="Arial"/>
          <w:b/>
        </w:rPr>
        <w:t>C.</w:t>
      </w:r>
      <w:r>
        <w:rPr>
          <w:rFonts w:ascii="Arial" w:hAnsi="Arial" w:cs="Arial"/>
          <w:b/>
        </w:rPr>
        <w:tab/>
      </w:r>
      <w:r w:rsidR="00B20FB8" w:rsidRPr="00EE6F2C">
        <w:rPr>
          <w:rFonts w:ascii="Arial" w:hAnsi="Arial" w:cs="Arial"/>
          <w:b/>
        </w:rPr>
        <w:t>Net Additional Dwellings and Demolition</w:t>
      </w:r>
    </w:p>
    <w:p w14:paraId="42FD95D5" w14:textId="77777777" w:rsidR="00EE6F2C" w:rsidRPr="00E810AA" w:rsidRDefault="00EE6F2C" w:rsidP="00EE6F2C">
      <w:pPr>
        <w:spacing w:after="0" w:line="300" w:lineRule="atLeast"/>
        <w:ind w:left="1429"/>
        <w:rPr>
          <w:rFonts w:ascii="Arial" w:hAnsi="Arial" w:cs="Arial"/>
        </w:rPr>
      </w:pPr>
    </w:p>
    <w:p w14:paraId="1569EA0B" w14:textId="1E35B9CA" w:rsidR="00B20FB8" w:rsidRDefault="00AC02B4" w:rsidP="00A80448">
      <w:pPr>
        <w:numPr>
          <w:ilvl w:val="1"/>
          <w:numId w:val="43"/>
        </w:numPr>
        <w:spacing w:after="0" w:line="300" w:lineRule="atLeast"/>
        <w:ind w:left="720" w:hanging="720"/>
        <w:rPr>
          <w:rFonts w:ascii="Arial" w:hAnsi="Arial" w:cs="Arial"/>
        </w:rPr>
      </w:pPr>
      <w:r>
        <w:rPr>
          <w:rFonts w:ascii="Arial" w:hAnsi="Arial" w:cs="Arial"/>
        </w:rPr>
        <w:t>L</w:t>
      </w:r>
      <w:r w:rsidR="00A57075" w:rsidRPr="00E810AA">
        <w:rPr>
          <w:rFonts w:ascii="Arial" w:hAnsi="Arial" w:cs="Arial"/>
        </w:rPr>
        <w:t xml:space="preserve">ow house prices, combined with the significant level of deprivation </w:t>
      </w:r>
      <w:r w:rsidR="008107D4">
        <w:rPr>
          <w:rFonts w:ascii="Arial" w:hAnsi="Arial" w:cs="Arial"/>
        </w:rPr>
        <w:t>in</w:t>
      </w:r>
      <w:r w:rsidR="00A57075" w:rsidRPr="00E810AA">
        <w:rPr>
          <w:rFonts w:ascii="Arial" w:hAnsi="Arial" w:cs="Arial"/>
        </w:rPr>
        <w:t xml:space="preserve"> </w:t>
      </w:r>
      <w:r w:rsidR="00672263" w:rsidRPr="00E810AA">
        <w:rPr>
          <w:rFonts w:ascii="Arial" w:hAnsi="Arial" w:cs="Arial"/>
        </w:rPr>
        <w:t>Hyndburn has adversely affected the development commitment and the deli</w:t>
      </w:r>
      <w:r>
        <w:rPr>
          <w:rFonts w:ascii="Arial" w:hAnsi="Arial" w:cs="Arial"/>
        </w:rPr>
        <w:t>very of new housing within the B</w:t>
      </w:r>
      <w:r w:rsidR="00672263" w:rsidRPr="00E810AA">
        <w:rPr>
          <w:rFonts w:ascii="Arial" w:hAnsi="Arial" w:cs="Arial"/>
        </w:rPr>
        <w:t xml:space="preserve">orough. </w:t>
      </w:r>
      <w:r w:rsidR="00B20FB8" w:rsidRPr="00E810AA">
        <w:rPr>
          <w:rFonts w:ascii="Arial" w:hAnsi="Arial" w:cs="Arial"/>
        </w:rPr>
        <w:t xml:space="preserve">Over the </w:t>
      </w:r>
      <w:r w:rsidR="006D675C" w:rsidRPr="00E810AA">
        <w:rPr>
          <w:rFonts w:ascii="Arial" w:hAnsi="Arial" w:cs="Arial"/>
        </w:rPr>
        <w:t>ten-year</w:t>
      </w:r>
      <w:r w:rsidR="00B20FB8" w:rsidRPr="00E810AA">
        <w:rPr>
          <w:rFonts w:ascii="Arial" w:hAnsi="Arial" w:cs="Arial"/>
        </w:rPr>
        <w:t xml:space="preserve"> period from 2012/13 to 2021/22, Hyndburn has</w:t>
      </w:r>
      <w:r w:rsidR="00880E8F">
        <w:rPr>
          <w:rFonts w:ascii="Arial" w:hAnsi="Arial" w:cs="Arial"/>
        </w:rPr>
        <w:t xml:space="preserve"> </w:t>
      </w:r>
      <w:r w:rsidR="00B20FB8" w:rsidRPr="00E810AA">
        <w:rPr>
          <w:rFonts w:ascii="Arial" w:hAnsi="Arial" w:cs="Arial"/>
        </w:rPr>
        <w:t xml:space="preserve">seen </w:t>
      </w:r>
      <w:r>
        <w:rPr>
          <w:rFonts w:ascii="Arial" w:hAnsi="Arial" w:cs="Arial"/>
        </w:rPr>
        <w:t xml:space="preserve">the lowest </w:t>
      </w:r>
      <w:r w:rsidR="00B20FB8" w:rsidRPr="00E810AA">
        <w:rPr>
          <w:rFonts w:ascii="Arial" w:hAnsi="Arial" w:cs="Arial"/>
        </w:rPr>
        <w:t xml:space="preserve">increase of dwellings in </w:t>
      </w:r>
      <w:r w:rsidR="00880E8F">
        <w:rPr>
          <w:rFonts w:ascii="Arial" w:hAnsi="Arial" w:cs="Arial"/>
        </w:rPr>
        <w:t xml:space="preserve">the </w:t>
      </w:r>
      <w:r w:rsidR="00B20FB8" w:rsidRPr="00E810AA">
        <w:rPr>
          <w:rFonts w:ascii="Arial" w:hAnsi="Arial" w:cs="Arial"/>
        </w:rPr>
        <w:t>Lancashire area, amounting to 1</w:t>
      </w:r>
      <w:r w:rsidR="00880E8F">
        <w:rPr>
          <w:rFonts w:ascii="Arial" w:hAnsi="Arial" w:cs="Arial"/>
        </w:rPr>
        <w:t>,</w:t>
      </w:r>
      <w:r w:rsidR="00B20FB8" w:rsidRPr="00E810AA">
        <w:rPr>
          <w:rFonts w:ascii="Arial" w:hAnsi="Arial" w:cs="Arial"/>
        </w:rPr>
        <w:t xml:space="preserve">260 </w:t>
      </w:r>
      <w:r w:rsidR="00880E8F">
        <w:rPr>
          <w:rFonts w:ascii="Arial" w:hAnsi="Arial" w:cs="Arial"/>
        </w:rPr>
        <w:t>(</w:t>
      </w:r>
      <w:r w:rsidR="00B20FB8" w:rsidRPr="00E810AA">
        <w:rPr>
          <w:rFonts w:ascii="Arial" w:hAnsi="Arial" w:cs="Arial"/>
        </w:rPr>
        <w:t>840</w:t>
      </w:r>
      <w:r w:rsidR="00880E8F">
        <w:rPr>
          <w:rFonts w:ascii="Arial" w:hAnsi="Arial" w:cs="Arial"/>
        </w:rPr>
        <w:t xml:space="preserve"> net)</w:t>
      </w:r>
      <w:r w:rsidR="00B20FB8" w:rsidRPr="00E810AA">
        <w:rPr>
          <w:rFonts w:ascii="Arial" w:hAnsi="Arial" w:cs="Arial"/>
        </w:rPr>
        <w:t xml:space="preserve"> dwellings in total in the last decade.</w:t>
      </w:r>
    </w:p>
    <w:p w14:paraId="1B445D6C" w14:textId="7DB079CC" w:rsidR="00EE6F2C" w:rsidRPr="00E810AA" w:rsidRDefault="00EE6F2C" w:rsidP="00EE6F2C">
      <w:pPr>
        <w:spacing w:after="0" w:line="300" w:lineRule="atLeast"/>
        <w:ind w:left="709"/>
        <w:rPr>
          <w:rFonts w:ascii="Arial" w:hAnsi="Arial" w:cs="Arial"/>
        </w:rPr>
      </w:pPr>
    </w:p>
    <w:p w14:paraId="28C0BF45" w14:textId="0E254E3B" w:rsidR="00A02767" w:rsidRDefault="00672263" w:rsidP="00A80448">
      <w:pPr>
        <w:numPr>
          <w:ilvl w:val="1"/>
          <w:numId w:val="43"/>
        </w:numPr>
        <w:spacing w:after="0" w:line="300" w:lineRule="atLeast"/>
        <w:ind w:left="709" w:hanging="709"/>
        <w:rPr>
          <w:rFonts w:ascii="Arial" w:hAnsi="Arial" w:cs="Arial"/>
        </w:rPr>
      </w:pPr>
      <w:r w:rsidRPr="00E810AA">
        <w:rPr>
          <w:rFonts w:ascii="Arial" w:hAnsi="Arial" w:cs="Arial"/>
        </w:rPr>
        <w:t xml:space="preserve">It is also understood that </w:t>
      </w:r>
      <w:r w:rsidR="007E399B" w:rsidRPr="00E810AA">
        <w:rPr>
          <w:rFonts w:ascii="Arial" w:hAnsi="Arial" w:cs="Arial"/>
        </w:rPr>
        <w:t xml:space="preserve">since year 2010, </w:t>
      </w:r>
      <w:r w:rsidR="006B45B5" w:rsidRPr="00E810AA">
        <w:rPr>
          <w:rFonts w:ascii="Arial" w:hAnsi="Arial" w:cs="Arial"/>
        </w:rPr>
        <w:t>there have been selective de</w:t>
      </w:r>
      <w:r w:rsidR="007E399B" w:rsidRPr="00E810AA">
        <w:rPr>
          <w:rFonts w:ascii="Arial" w:hAnsi="Arial" w:cs="Arial"/>
        </w:rPr>
        <w:t xml:space="preserve">molition of a </w:t>
      </w:r>
      <w:r w:rsidR="008107D4" w:rsidRPr="00E810AA">
        <w:rPr>
          <w:rFonts w:ascii="Arial" w:hAnsi="Arial" w:cs="Arial"/>
        </w:rPr>
        <w:t>number of</w:t>
      </w:r>
      <w:r w:rsidR="007E399B" w:rsidRPr="00E810AA">
        <w:rPr>
          <w:rFonts w:ascii="Arial" w:hAnsi="Arial" w:cs="Arial"/>
        </w:rPr>
        <w:t xml:space="preserve"> poor housing estates with long term vacant </w:t>
      </w:r>
      <w:r w:rsidR="005967FA" w:rsidRPr="00E810AA">
        <w:rPr>
          <w:rFonts w:ascii="Arial" w:hAnsi="Arial" w:cs="Arial"/>
        </w:rPr>
        <w:t>poor-quality</w:t>
      </w:r>
      <w:r w:rsidR="007E399B" w:rsidRPr="00E810AA">
        <w:rPr>
          <w:rFonts w:ascii="Arial" w:hAnsi="Arial" w:cs="Arial"/>
        </w:rPr>
        <w:t xml:space="preserve"> housing.</w:t>
      </w:r>
      <w:r w:rsidR="00323F54" w:rsidRPr="00323F54">
        <w:rPr>
          <w:rFonts w:ascii="Arial" w:hAnsi="Arial" w:cs="Arial"/>
        </w:rPr>
        <w:t xml:space="preserve"> </w:t>
      </w:r>
      <w:r w:rsidR="00AC02B4">
        <w:rPr>
          <w:rFonts w:ascii="Arial" w:hAnsi="Arial" w:cs="Arial"/>
        </w:rPr>
        <w:t xml:space="preserve"> </w:t>
      </w:r>
      <w:r w:rsidR="00323F54" w:rsidRPr="00323F54">
        <w:rPr>
          <w:rFonts w:ascii="Arial" w:hAnsi="Arial" w:cs="Arial"/>
        </w:rPr>
        <w:t>According to the records held by the Council’s planning department, it is understood that approximately 86 poor quality &amp; long-term vacant dwellin</w:t>
      </w:r>
      <w:r w:rsidR="00AC02B4">
        <w:rPr>
          <w:rFonts w:ascii="Arial" w:hAnsi="Arial" w:cs="Arial"/>
        </w:rPr>
        <w:t>gs have been demolished in the B</w:t>
      </w:r>
      <w:r w:rsidR="00323F54" w:rsidRPr="00323F54">
        <w:rPr>
          <w:rFonts w:ascii="Arial" w:hAnsi="Arial" w:cs="Arial"/>
        </w:rPr>
        <w:t xml:space="preserve">orough since </w:t>
      </w:r>
      <w:r w:rsidR="00323F54">
        <w:rPr>
          <w:rFonts w:ascii="Arial" w:hAnsi="Arial" w:cs="Arial"/>
        </w:rPr>
        <w:t>2010.</w:t>
      </w:r>
    </w:p>
    <w:p w14:paraId="0576750A" w14:textId="77777777" w:rsidR="00EE6F2C" w:rsidRPr="00E810AA" w:rsidRDefault="00EE6F2C" w:rsidP="00EE6F2C">
      <w:pPr>
        <w:spacing w:after="0" w:line="300" w:lineRule="atLeast"/>
        <w:ind w:left="709"/>
        <w:rPr>
          <w:rFonts w:ascii="Arial" w:hAnsi="Arial" w:cs="Arial"/>
        </w:rPr>
      </w:pPr>
    </w:p>
    <w:p w14:paraId="2C74B23D" w14:textId="77777777" w:rsidR="00E9330A" w:rsidRPr="00EE6F2C" w:rsidRDefault="00AC02B4" w:rsidP="00EE6F2C">
      <w:pPr>
        <w:spacing w:after="0" w:line="300" w:lineRule="atLeast"/>
        <w:ind w:firstLine="709"/>
        <w:rPr>
          <w:rFonts w:ascii="Arial" w:hAnsi="Arial" w:cs="Arial"/>
          <w:b/>
        </w:rPr>
      </w:pPr>
      <w:r>
        <w:rPr>
          <w:rFonts w:ascii="Arial" w:hAnsi="Arial" w:cs="Arial"/>
          <w:b/>
        </w:rPr>
        <w:t>D.</w:t>
      </w:r>
      <w:r>
        <w:rPr>
          <w:rFonts w:ascii="Arial" w:hAnsi="Arial" w:cs="Arial"/>
          <w:b/>
        </w:rPr>
        <w:tab/>
      </w:r>
      <w:r w:rsidR="00E9330A" w:rsidRPr="00EE6F2C">
        <w:rPr>
          <w:rFonts w:ascii="Arial" w:hAnsi="Arial" w:cs="Arial"/>
          <w:b/>
        </w:rPr>
        <w:t xml:space="preserve">Living Environment </w:t>
      </w:r>
    </w:p>
    <w:p w14:paraId="13E68B14" w14:textId="77777777" w:rsidR="00EE6F2C" w:rsidRPr="00EE6F2C" w:rsidRDefault="00EE6F2C" w:rsidP="00EE6F2C">
      <w:pPr>
        <w:spacing w:after="0" w:line="300" w:lineRule="atLeast"/>
        <w:ind w:firstLine="709"/>
        <w:rPr>
          <w:rFonts w:ascii="Arial" w:hAnsi="Arial" w:cs="Arial"/>
        </w:rPr>
      </w:pPr>
    </w:p>
    <w:p w14:paraId="0E724B98" w14:textId="19DB6F3D" w:rsidR="00E9330A" w:rsidRDefault="00811838" w:rsidP="00A80448">
      <w:pPr>
        <w:pStyle w:val="ListParagraph"/>
        <w:numPr>
          <w:ilvl w:val="1"/>
          <w:numId w:val="43"/>
        </w:numPr>
        <w:spacing w:after="0" w:line="300" w:lineRule="atLeast"/>
        <w:ind w:left="709" w:hanging="709"/>
        <w:contextualSpacing w:val="0"/>
        <w:rPr>
          <w:rFonts w:ascii="Arial" w:hAnsi="Arial" w:cs="Arial"/>
        </w:rPr>
      </w:pPr>
      <w:r w:rsidRPr="00E810AA">
        <w:rPr>
          <w:rFonts w:ascii="Arial" w:hAnsi="Arial" w:cs="Arial"/>
        </w:rPr>
        <w:t xml:space="preserve">As illustrated in </w:t>
      </w:r>
      <w:r w:rsidR="00A86F4B">
        <w:rPr>
          <w:rFonts w:ascii="Arial" w:hAnsi="Arial" w:cs="Arial"/>
        </w:rPr>
        <w:t xml:space="preserve">Appendix </w:t>
      </w:r>
      <w:r w:rsidR="005967FA">
        <w:rPr>
          <w:rFonts w:ascii="Arial" w:hAnsi="Arial" w:cs="Arial"/>
        </w:rPr>
        <w:t>4</w:t>
      </w:r>
      <w:r w:rsidR="00E9330A" w:rsidRPr="00E810AA">
        <w:rPr>
          <w:rFonts w:ascii="Arial" w:hAnsi="Arial" w:cs="Arial"/>
        </w:rPr>
        <w:t xml:space="preserve">, </w:t>
      </w:r>
      <w:r w:rsidR="00A86F4B">
        <w:rPr>
          <w:rFonts w:ascii="Arial" w:hAnsi="Arial" w:cs="Arial"/>
        </w:rPr>
        <w:t>14 of the 16 Wards within</w:t>
      </w:r>
      <w:r w:rsidR="00E9330A" w:rsidRPr="00E810AA">
        <w:rPr>
          <w:rFonts w:ascii="Arial" w:hAnsi="Arial" w:cs="Arial"/>
        </w:rPr>
        <w:t xml:space="preserve"> Hyndburn are identified as the most deprived in the </w:t>
      </w:r>
      <w:r w:rsidR="00880E8F">
        <w:rPr>
          <w:rFonts w:ascii="Arial" w:hAnsi="Arial" w:cs="Arial"/>
        </w:rPr>
        <w:t>‘</w:t>
      </w:r>
      <w:r w:rsidR="00E9330A" w:rsidRPr="00E810AA">
        <w:rPr>
          <w:rFonts w:ascii="Arial" w:hAnsi="Arial" w:cs="Arial"/>
        </w:rPr>
        <w:t>living environment</w:t>
      </w:r>
      <w:r w:rsidR="00880E8F">
        <w:rPr>
          <w:rFonts w:ascii="Arial" w:hAnsi="Arial" w:cs="Arial"/>
        </w:rPr>
        <w:t>’</w:t>
      </w:r>
      <w:r w:rsidR="00E9330A" w:rsidRPr="00E810AA">
        <w:rPr>
          <w:rFonts w:ascii="Arial" w:hAnsi="Arial" w:cs="Arial"/>
        </w:rPr>
        <w:t xml:space="preserve"> domain</w:t>
      </w:r>
      <w:r w:rsidR="00A86F4B">
        <w:rPr>
          <w:rFonts w:ascii="Arial" w:hAnsi="Arial" w:cs="Arial"/>
        </w:rPr>
        <w:t>, fall</w:t>
      </w:r>
      <w:r w:rsidR="00880E8F">
        <w:rPr>
          <w:rFonts w:ascii="Arial" w:hAnsi="Arial" w:cs="Arial"/>
        </w:rPr>
        <w:t>ing</w:t>
      </w:r>
      <w:r w:rsidR="00A86F4B">
        <w:rPr>
          <w:rFonts w:ascii="Arial" w:hAnsi="Arial" w:cs="Arial"/>
        </w:rPr>
        <w:t xml:space="preserve"> within ranking</w:t>
      </w:r>
      <w:r w:rsidR="005967FA">
        <w:rPr>
          <w:rFonts w:ascii="Arial" w:hAnsi="Arial" w:cs="Arial"/>
        </w:rPr>
        <w:t>s</w:t>
      </w:r>
      <w:r w:rsidR="00A86F4B">
        <w:rPr>
          <w:rFonts w:ascii="Arial" w:hAnsi="Arial" w:cs="Arial"/>
        </w:rPr>
        <w:t xml:space="preserve"> 1 and 2</w:t>
      </w:r>
      <w:r w:rsidR="00E9330A" w:rsidRPr="00E810AA">
        <w:rPr>
          <w:rFonts w:ascii="Arial" w:hAnsi="Arial" w:cs="Arial"/>
        </w:rPr>
        <w:t xml:space="preserve">. </w:t>
      </w:r>
      <w:r w:rsidR="00AC02B4">
        <w:rPr>
          <w:rFonts w:ascii="Arial" w:hAnsi="Arial" w:cs="Arial"/>
        </w:rPr>
        <w:t xml:space="preserve"> </w:t>
      </w:r>
      <w:r w:rsidR="00A86F4B">
        <w:rPr>
          <w:rFonts w:ascii="Arial" w:hAnsi="Arial" w:cs="Arial"/>
        </w:rPr>
        <w:t>The l</w:t>
      </w:r>
      <w:r w:rsidR="00C4193C" w:rsidRPr="00E810AA">
        <w:rPr>
          <w:rFonts w:ascii="Arial" w:hAnsi="Arial" w:cs="Arial"/>
        </w:rPr>
        <w:t>iving e</w:t>
      </w:r>
      <w:r w:rsidR="00E9330A" w:rsidRPr="00E810AA">
        <w:rPr>
          <w:rFonts w:ascii="Arial" w:hAnsi="Arial" w:cs="Arial"/>
        </w:rPr>
        <w:t>nvironment deprivation domain measures the quality of the local environment, with its indicators falling into two sub-domains – indoor and outdoor living environment</w:t>
      </w:r>
      <w:r w:rsidR="00E9330A" w:rsidRPr="00E810AA">
        <w:rPr>
          <w:rStyle w:val="FootnoteReference"/>
          <w:rFonts w:ascii="Arial" w:hAnsi="Arial" w:cs="Arial"/>
        </w:rPr>
        <w:footnoteReference w:id="8"/>
      </w:r>
      <w:r w:rsidR="00E9330A" w:rsidRPr="00E810AA">
        <w:rPr>
          <w:rFonts w:ascii="Arial" w:hAnsi="Arial" w:cs="Arial"/>
        </w:rPr>
        <w:t xml:space="preserve">. The indoor living environment measures the quality of housing, while the outdoors living environment contains measures </w:t>
      </w:r>
      <w:r w:rsidR="00A86F4B">
        <w:rPr>
          <w:rFonts w:ascii="Arial" w:hAnsi="Arial" w:cs="Arial"/>
        </w:rPr>
        <w:t xml:space="preserve">for </w:t>
      </w:r>
      <w:r w:rsidR="00E9330A" w:rsidRPr="00E810AA">
        <w:rPr>
          <w:rFonts w:ascii="Arial" w:hAnsi="Arial" w:cs="Arial"/>
        </w:rPr>
        <w:t xml:space="preserve">air quality and road traffic conditions. </w:t>
      </w:r>
    </w:p>
    <w:p w14:paraId="51CACB14" w14:textId="77777777" w:rsidR="00EE6F2C" w:rsidRPr="00E810AA" w:rsidRDefault="00EE6F2C" w:rsidP="00EE6F2C">
      <w:pPr>
        <w:pStyle w:val="ListParagraph"/>
        <w:spacing w:after="0" w:line="300" w:lineRule="atLeast"/>
        <w:ind w:left="709"/>
        <w:contextualSpacing w:val="0"/>
        <w:rPr>
          <w:rFonts w:ascii="Arial" w:hAnsi="Arial" w:cs="Arial"/>
        </w:rPr>
      </w:pPr>
    </w:p>
    <w:p w14:paraId="6BDD9554" w14:textId="77777777" w:rsidR="00E9330A" w:rsidRPr="00AC1435" w:rsidRDefault="00E9330A" w:rsidP="00E810AA">
      <w:pPr>
        <w:pStyle w:val="ListParagraph"/>
        <w:spacing w:after="0" w:line="300" w:lineRule="atLeast"/>
        <w:ind w:left="709"/>
        <w:contextualSpacing w:val="0"/>
        <w:rPr>
          <w:rFonts w:ascii="Arial" w:hAnsi="Arial" w:cs="Arial"/>
          <w:b/>
        </w:rPr>
      </w:pPr>
      <w:r w:rsidRPr="00AC1435">
        <w:rPr>
          <w:rFonts w:ascii="Arial" w:hAnsi="Arial" w:cs="Arial"/>
          <w:b/>
        </w:rPr>
        <w:t xml:space="preserve">Indoors Sub-Domain: </w:t>
      </w:r>
    </w:p>
    <w:p w14:paraId="2EB6BA44" w14:textId="77777777" w:rsidR="00E9330A" w:rsidRPr="00E810AA" w:rsidRDefault="00E9330A" w:rsidP="00E810AA">
      <w:pPr>
        <w:pStyle w:val="ListParagraph"/>
        <w:numPr>
          <w:ilvl w:val="0"/>
          <w:numId w:val="7"/>
        </w:numPr>
        <w:spacing w:after="0" w:line="300" w:lineRule="atLeast"/>
        <w:rPr>
          <w:rFonts w:ascii="Arial" w:hAnsi="Arial" w:cs="Arial"/>
        </w:rPr>
      </w:pPr>
      <w:r w:rsidRPr="00E810AA">
        <w:rPr>
          <w:rFonts w:ascii="Arial" w:hAnsi="Arial" w:cs="Arial"/>
        </w:rPr>
        <w:t xml:space="preserve">Houses without central heating: The proportion of houses that do not have central heating. </w:t>
      </w:r>
    </w:p>
    <w:p w14:paraId="33149B32" w14:textId="12473E92" w:rsidR="00E9330A" w:rsidRDefault="00E9330A" w:rsidP="00E810AA">
      <w:pPr>
        <w:pStyle w:val="ListParagraph"/>
        <w:numPr>
          <w:ilvl w:val="0"/>
          <w:numId w:val="7"/>
        </w:numPr>
        <w:spacing w:after="0" w:line="300" w:lineRule="atLeast"/>
        <w:rPr>
          <w:rFonts w:ascii="Arial" w:hAnsi="Arial" w:cs="Arial"/>
        </w:rPr>
      </w:pPr>
      <w:r w:rsidRPr="00E810AA">
        <w:rPr>
          <w:rFonts w:ascii="Arial" w:hAnsi="Arial" w:cs="Arial"/>
        </w:rPr>
        <w:t>Housing in poor condition: The proportion of social and private homes that fail to meet the Decent Homes standard.</w:t>
      </w:r>
    </w:p>
    <w:p w14:paraId="4DF664C5" w14:textId="77777777" w:rsidR="00880E8F" w:rsidRPr="00E810AA" w:rsidRDefault="00880E8F" w:rsidP="00880E8F">
      <w:pPr>
        <w:pStyle w:val="ListParagraph"/>
        <w:spacing w:after="0" w:line="300" w:lineRule="atLeast"/>
        <w:ind w:left="1429"/>
        <w:rPr>
          <w:rFonts w:ascii="Arial" w:hAnsi="Arial" w:cs="Arial"/>
        </w:rPr>
      </w:pPr>
    </w:p>
    <w:p w14:paraId="3892947F" w14:textId="77777777" w:rsidR="00E9330A" w:rsidRPr="00AC1435" w:rsidRDefault="00E9330A" w:rsidP="00E810AA">
      <w:pPr>
        <w:spacing w:after="0" w:line="300" w:lineRule="atLeast"/>
        <w:ind w:firstLine="709"/>
        <w:rPr>
          <w:rFonts w:ascii="Arial" w:hAnsi="Arial" w:cs="Arial"/>
          <w:b/>
        </w:rPr>
      </w:pPr>
      <w:r w:rsidRPr="00AC1435">
        <w:rPr>
          <w:rFonts w:ascii="Arial" w:hAnsi="Arial" w:cs="Arial"/>
          <w:b/>
        </w:rPr>
        <w:t xml:space="preserve">Outdoors sub-domain: </w:t>
      </w:r>
    </w:p>
    <w:p w14:paraId="6A57A2FA" w14:textId="77777777" w:rsidR="00E9330A" w:rsidRPr="00E810AA" w:rsidRDefault="00E9330A" w:rsidP="00E810AA">
      <w:pPr>
        <w:pStyle w:val="ListParagraph"/>
        <w:numPr>
          <w:ilvl w:val="0"/>
          <w:numId w:val="7"/>
        </w:numPr>
        <w:spacing w:after="0" w:line="300" w:lineRule="atLeast"/>
        <w:rPr>
          <w:rFonts w:ascii="Arial" w:hAnsi="Arial" w:cs="Arial"/>
        </w:rPr>
      </w:pPr>
      <w:r w:rsidRPr="00E810AA">
        <w:rPr>
          <w:rFonts w:ascii="Arial" w:hAnsi="Arial" w:cs="Arial"/>
        </w:rPr>
        <w:t xml:space="preserve">Air quality: A measure of air quality based on emissions rates for four pollutants. </w:t>
      </w:r>
    </w:p>
    <w:p w14:paraId="3F143EAA" w14:textId="77777777" w:rsidR="00E9330A" w:rsidRPr="00E810AA" w:rsidRDefault="00E9330A" w:rsidP="00E810AA">
      <w:pPr>
        <w:pStyle w:val="ListParagraph"/>
        <w:numPr>
          <w:ilvl w:val="0"/>
          <w:numId w:val="7"/>
        </w:numPr>
        <w:spacing w:after="0" w:line="300" w:lineRule="atLeast"/>
        <w:rPr>
          <w:rFonts w:ascii="Arial" w:hAnsi="Arial" w:cs="Arial"/>
        </w:rPr>
      </w:pPr>
      <w:r w:rsidRPr="00E810AA">
        <w:rPr>
          <w:rFonts w:ascii="Arial" w:hAnsi="Arial" w:cs="Arial"/>
        </w:rPr>
        <w:t>Road traffic accidents involving injury to pedestrians and cyclists.</w:t>
      </w:r>
    </w:p>
    <w:p w14:paraId="06B4E48A" w14:textId="77777777" w:rsidR="00E9330A" w:rsidRPr="00E810AA" w:rsidRDefault="00E9330A" w:rsidP="00E810AA">
      <w:pPr>
        <w:pStyle w:val="ListParagraph"/>
        <w:spacing w:after="0" w:line="300" w:lineRule="atLeast"/>
        <w:ind w:left="1429"/>
        <w:rPr>
          <w:rFonts w:ascii="Arial" w:hAnsi="Arial" w:cs="Arial"/>
        </w:rPr>
      </w:pPr>
    </w:p>
    <w:p w14:paraId="64B0415F" w14:textId="3DA5ED28" w:rsidR="00E9330A" w:rsidRDefault="00C4193C" w:rsidP="00A80448">
      <w:pPr>
        <w:pStyle w:val="ListParagraph"/>
        <w:numPr>
          <w:ilvl w:val="1"/>
          <w:numId w:val="43"/>
        </w:numPr>
        <w:spacing w:after="0" w:line="300" w:lineRule="atLeast"/>
        <w:ind w:left="709" w:hanging="709"/>
        <w:contextualSpacing w:val="0"/>
        <w:rPr>
          <w:rFonts w:ascii="Arial" w:hAnsi="Arial" w:cs="Arial"/>
        </w:rPr>
      </w:pPr>
      <w:r w:rsidRPr="00E810AA">
        <w:rPr>
          <w:rFonts w:ascii="Arial" w:hAnsi="Arial" w:cs="Arial"/>
        </w:rPr>
        <w:t xml:space="preserve">The Living Environment Deprivation Domain is one of seven domains that combine to produce the overall </w:t>
      </w:r>
      <w:r w:rsidR="00880E8F">
        <w:rPr>
          <w:rFonts w:ascii="Arial" w:hAnsi="Arial" w:cs="Arial"/>
        </w:rPr>
        <w:t>I</w:t>
      </w:r>
      <w:r w:rsidRPr="00E810AA">
        <w:rPr>
          <w:rFonts w:ascii="Arial" w:hAnsi="Arial" w:cs="Arial"/>
        </w:rPr>
        <w:t xml:space="preserve">ndex of Multiple Deprivation.  </w:t>
      </w:r>
      <w:r w:rsidR="00E9330A" w:rsidRPr="00E810AA">
        <w:rPr>
          <w:rFonts w:ascii="Arial" w:hAnsi="Arial" w:cs="Arial"/>
        </w:rPr>
        <w:t xml:space="preserve">The poor performance of </w:t>
      </w:r>
      <w:r w:rsidR="00A86F4B">
        <w:rPr>
          <w:rFonts w:ascii="Arial" w:hAnsi="Arial" w:cs="Arial"/>
        </w:rPr>
        <w:t>the W</w:t>
      </w:r>
      <w:r w:rsidR="00E9330A" w:rsidRPr="00E810AA">
        <w:rPr>
          <w:rFonts w:ascii="Arial" w:hAnsi="Arial" w:cs="Arial"/>
        </w:rPr>
        <w:t>ards in Hyndburn within</w:t>
      </w:r>
      <w:r w:rsidR="00A86F4B">
        <w:rPr>
          <w:rFonts w:ascii="Arial" w:hAnsi="Arial" w:cs="Arial"/>
        </w:rPr>
        <w:t xml:space="preserve"> the </w:t>
      </w:r>
      <w:r w:rsidR="00E9330A" w:rsidRPr="00E810AA">
        <w:rPr>
          <w:rFonts w:ascii="Arial" w:hAnsi="Arial" w:cs="Arial"/>
        </w:rPr>
        <w:t xml:space="preserve">‘living environment’ domain to some extent reflects the poor quality of some existing housing stock within </w:t>
      </w:r>
      <w:r w:rsidR="002E5D00" w:rsidRPr="00E810AA">
        <w:rPr>
          <w:rFonts w:ascii="Arial" w:hAnsi="Arial" w:cs="Arial"/>
        </w:rPr>
        <w:t xml:space="preserve">those wards. </w:t>
      </w:r>
      <w:r w:rsidR="00AC02B4">
        <w:rPr>
          <w:rFonts w:ascii="Arial" w:hAnsi="Arial" w:cs="Arial"/>
        </w:rPr>
        <w:t xml:space="preserve"> </w:t>
      </w:r>
      <w:r w:rsidR="002E5D00" w:rsidRPr="00E810AA">
        <w:rPr>
          <w:rFonts w:ascii="Arial" w:hAnsi="Arial" w:cs="Arial"/>
        </w:rPr>
        <w:t>I</w:t>
      </w:r>
      <w:r w:rsidR="00E9330A" w:rsidRPr="00E810AA">
        <w:rPr>
          <w:rFonts w:ascii="Arial" w:hAnsi="Arial" w:cs="Arial"/>
        </w:rPr>
        <w:t xml:space="preserve">t is recognised that there are many good landlords, however many problems associated with poor quality rented housing, anti-social behaviour, and irresponsible and unscrupulous landlords </w:t>
      </w:r>
      <w:r w:rsidR="00371F91" w:rsidRPr="00E810AA">
        <w:rPr>
          <w:rFonts w:ascii="Arial" w:hAnsi="Arial" w:cs="Arial"/>
        </w:rPr>
        <w:lastRenderedPageBreak/>
        <w:t>are considered to</w:t>
      </w:r>
      <w:r w:rsidR="00E9330A" w:rsidRPr="00E810AA">
        <w:rPr>
          <w:rFonts w:ascii="Arial" w:hAnsi="Arial" w:cs="Arial"/>
        </w:rPr>
        <w:t xml:space="preserve"> have </w:t>
      </w:r>
      <w:r w:rsidR="00880E8F">
        <w:rPr>
          <w:rFonts w:ascii="Arial" w:hAnsi="Arial" w:cs="Arial"/>
        </w:rPr>
        <w:t xml:space="preserve">a </w:t>
      </w:r>
      <w:r w:rsidR="00E9330A" w:rsidRPr="00E810AA">
        <w:rPr>
          <w:rFonts w:ascii="Arial" w:hAnsi="Arial" w:cs="Arial"/>
        </w:rPr>
        <w:t>detrimental effect on a neighbourhood and community.</w:t>
      </w:r>
      <w:r w:rsidR="00AC02B4">
        <w:rPr>
          <w:rFonts w:ascii="Arial" w:hAnsi="Arial" w:cs="Arial"/>
        </w:rPr>
        <w:t xml:space="preserve"> </w:t>
      </w:r>
      <w:r w:rsidR="00E9330A" w:rsidRPr="00E810AA">
        <w:rPr>
          <w:rFonts w:ascii="Arial" w:hAnsi="Arial" w:cs="Arial"/>
        </w:rPr>
        <w:t xml:space="preserve"> </w:t>
      </w:r>
      <w:r w:rsidR="00371F91" w:rsidRPr="00E810AA">
        <w:rPr>
          <w:rFonts w:ascii="Arial" w:hAnsi="Arial" w:cs="Arial"/>
        </w:rPr>
        <w:t xml:space="preserve">Those </w:t>
      </w:r>
      <w:r w:rsidR="002C0457" w:rsidRPr="00E810AA">
        <w:rPr>
          <w:rFonts w:ascii="Arial" w:hAnsi="Arial" w:cs="Arial"/>
        </w:rPr>
        <w:t>factors</w:t>
      </w:r>
      <w:r w:rsidR="00371F91" w:rsidRPr="00E810AA">
        <w:rPr>
          <w:rFonts w:ascii="Arial" w:hAnsi="Arial" w:cs="Arial"/>
        </w:rPr>
        <w:t xml:space="preserve"> would</w:t>
      </w:r>
      <w:r w:rsidR="002C0457" w:rsidRPr="00E810AA">
        <w:rPr>
          <w:rFonts w:ascii="Arial" w:hAnsi="Arial" w:cs="Arial"/>
        </w:rPr>
        <w:t xml:space="preserve"> inevitably</w:t>
      </w:r>
      <w:r w:rsidR="00371F91" w:rsidRPr="00E810AA">
        <w:rPr>
          <w:rFonts w:ascii="Arial" w:hAnsi="Arial" w:cs="Arial"/>
        </w:rPr>
        <w:t xml:space="preserve"> make th</w:t>
      </w:r>
      <w:r w:rsidR="00880E8F">
        <w:rPr>
          <w:rFonts w:ascii="Arial" w:hAnsi="Arial" w:cs="Arial"/>
        </w:rPr>
        <w:t>ose</w:t>
      </w:r>
      <w:r w:rsidR="00371F91" w:rsidRPr="00E810AA">
        <w:rPr>
          <w:rFonts w:ascii="Arial" w:hAnsi="Arial" w:cs="Arial"/>
        </w:rPr>
        <w:t xml:space="preserve"> </w:t>
      </w:r>
      <w:r w:rsidR="002C0457" w:rsidRPr="00E810AA">
        <w:rPr>
          <w:rFonts w:ascii="Arial" w:hAnsi="Arial" w:cs="Arial"/>
        </w:rPr>
        <w:t>areas and commun</w:t>
      </w:r>
      <w:r w:rsidR="00AC02B4">
        <w:rPr>
          <w:rFonts w:ascii="Arial" w:hAnsi="Arial" w:cs="Arial"/>
        </w:rPr>
        <w:t>ities become unattractive to local families, which could</w:t>
      </w:r>
      <w:r w:rsidR="002C0457" w:rsidRPr="00E810AA">
        <w:rPr>
          <w:rFonts w:ascii="Arial" w:hAnsi="Arial" w:cs="Arial"/>
        </w:rPr>
        <w:t xml:space="preserve"> result in people moving away from the area, with </w:t>
      </w:r>
      <w:r w:rsidR="00880E8F">
        <w:rPr>
          <w:rFonts w:ascii="Arial" w:hAnsi="Arial" w:cs="Arial"/>
        </w:rPr>
        <w:t xml:space="preserve">an </w:t>
      </w:r>
      <w:r w:rsidR="002C0457" w:rsidRPr="00E810AA">
        <w:rPr>
          <w:rFonts w:ascii="Arial" w:hAnsi="Arial" w:cs="Arial"/>
        </w:rPr>
        <w:t xml:space="preserve">increasing number of </w:t>
      </w:r>
      <w:r w:rsidR="00E9330A" w:rsidRPr="00E810AA">
        <w:rPr>
          <w:rFonts w:ascii="Arial" w:hAnsi="Arial" w:cs="Arial"/>
        </w:rPr>
        <w:t>properties left empty</w:t>
      </w:r>
      <w:r w:rsidR="002C0457" w:rsidRPr="00E810AA">
        <w:rPr>
          <w:rFonts w:ascii="Arial" w:hAnsi="Arial" w:cs="Arial"/>
        </w:rPr>
        <w:t xml:space="preserve"> without being re-occupied i</w:t>
      </w:r>
      <w:r w:rsidR="00AC02B4">
        <w:rPr>
          <w:rFonts w:ascii="Arial" w:hAnsi="Arial" w:cs="Arial"/>
        </w:rPr>
        <w:t xml:space="preserve">n </w:t>
      </w:r>
      <w:r w:rsidR="009C0EEE">
        <w:rPr>
          <w:rFonts w:ascii="Arial" w:hAnsi="Arial" w:cs="Arial"/>
        </w:rPr>
        <w:t xml:space="preserve">the </w:t>
      </w:r>
      <w:r w:rsidR="00AC02B4">
        <w:rPr>
          <w:rFonts w:ascii="Arial" w:hAnsi="Arial" w:cs="Arial"/>
        </w:rPr>
        <w:t xml:space="preserve">short or medium term, </w:t>
      </w:r>
      <w:r w:rsidR="004C64A4" w:rsidRPr="00E810AA">
        <w:rPr>
          <w:rFonts w:ascii="Arial" w:hAnsi="Arial" w:cs="Arial"/>
        </w:rPr>
        <w:t>lead</w:t>
      </w:r>
      <w:r w:rsidR="00AC02B4">
        <w:rPr>
          <w:rFonts w:ascii="Arial" w:hAnsi="Arial" w:cs="Arial"/>
        </w:rPr>
        <w:t>ing</w:t>
      </w:r>
      <w:r w:rsidR="00E9330A" w:rsidRPr="00E810AA">
        <w:rPr>
          <w:rFonts w:ascii="Arial" w:hAnsi="Arial" w:cs="Arial"/>
        </w:rPr>
        <w:t xml:space="preserve"> to </w:t>
      </w:r>
      <w:r w:rsidR="009C0EEE">
        <w:rPr>
          <w:rFonts w:ascii="Arial" w:hAnsi="Arial" w:cs="Arial"/>
        </w:rPr>
        <w:t xml:space="preserve">a </w:t>
      </w:r>
      <w:r w:rsidR="00E9330A" w:rsidRPr="00E810AA">
        <w:rPr>
          <w:rFonts w:ascii="Arial" w:hAnsi="Arial" w:cs="Arial"/>
        </w:rPr>
        <w:t>further decline</w:t>
      </w:r>
      <w:r w:rsidR="004C64A4" w:rsidRPr="00E810AA">
        <w:rPr>
          <w:rFonts w:ascii="Arial" w:hAnsi="Arial" w:cs="Arial"/>
        </w:rPr>
        <w:t xml:space="preserve"> of the area</w:t>
      </w:r>
      <w:r w:rsidR="00E9330A" w:rsidRPr="00E810AA">
        <w:rPr>
          <w:rFonts w:ascii="Arial" w:hAnsi="Arial" w:cs="Arial"/>
        </w:rPr>
        <w:t xml:space="preserve">. </w:t>
      </w:r>
      <w:r w:rsidR="00AC02B4">
        <w:rPr>
          <w:rFonts w:ascii="Arial" w:hAnsi="Arial" w:cs="Arial"/>
        </w:rPr>
        <w:t xml:space="preserve"> Intervention </w:t>
      </w:r>
      <w:r w:rsidR="009C0EEE">
        <w:rPr>
          <w:rFonts w:ascii="Arial" w:hAnsi="Arial" w:cs="Arial"/>
        </w:rPr>
        <w:t>would be</w:t>
      </w:r>
      <w:r w:rsidR="00AC02B4">
        <w:rPr>
          <w:rFonts w:ascii="Arial" w:hAnsi="Arial" w:cs="Arial"/>
        </w:rPr>
        <w:t xml:space="preserve"> needed to end the spiral of downward decline that is being witnessed.</w:t>
      </w:r>
    </w:p>
    <w:p w14:paraId="58C8BF0A" w14:textId="77777777" w:rsidR="00AC1435" w:rsidRPr="00E810AA" w:rsidRDefault="00AC1435" w:rsidP="00AC1435">
      <w:pPr>
        <w:pStyle w:val="ListParagraph"/>
        <w:spacing w:after="0" w:line="300" w:lineRule="atLeast"/>
        <w:ind w:left="709"/>
        <w:contextualSpacing w:val="0"/>
        <w:rPr>
          <w:rFonts w:ascii="Arial" w:hAnsi="Arial" w:cs="Arial"/>
        </w:rPr>
      </w:pPr>
    </w:p>
    <w:p w14:paraId="2855C132" w14:textId="672C0005" w:rsidR="004C64A4" w:rsidRDefault="009C0EEE" w:rsidP="00A80448">
      <w:pPr>
        <w:pStyle w:val="ListParagraph"/>
        <w:numPr>
          <w:ilvl w:val="1"/>
          <w:numId w:val="43"/>
        </w:numPr>
        <w:spacing w:after="0" w:line="300" w:lineRule="atLeast"/>
        <w:ind w:left="709" w:hanging="709"/>
        <w:contextualSpacing w:val="0"/>
        <w:rPr>
          <w:rFonts w:ascii="Arial" w:hAnsi="Arial" w:cs="Arial"/>
        </w:rPr>
      </w:pPr>
      <w:r>
        <w:rPr>
          <w:rFonts w:ascii="Arial" w:hAnsi="Arial" w:cs="Arial"/>
        </w:rPr>
        <w:t xml:space="preserve">In the paper produced </w:t>
      </w:r>
      <w:r w:rsidR="006D675C">
        <w:rPr>
          <w:rFonts w:ascii="Arial" w:hAnsi="Arial" w:cs="Arial"/>
        </w:rPr>
        <w:t xml:space="preserve">for the December 2024 Cabinet decision in respect of </w:t>
      </w:r>
      <w:r>
        <w:rPr>
          <w:rFonts w:ascii="Arial" w:hAnsi="Arial" w:cs="Arial"/>
        </w:rPr>
        <w:t xml:space="preserve">the Article 4 Direction limited to </w:t>
      </w:r>
      <w:r w:rsidR="006D675C">
        <w:rPr>
          <w:rFonts w:ascii="Arial" w:hAnsi="Arial" w:cs="Arial"/>
        </w:rPr>
        <w:t>9</w:t>
      </w:r>
      <w:r>
        <w:rPr>
          <w:rFonts w:ascii="Arial" w:hAnsi="Arial" w:cs="Arial"/>
        </w:rPr>
        <w:t xml:space="preserve"> Wards within the Borough</w:t>
      </w:r>
      <w:r w:rsidR="00D13BF1">
        <w:rPr>
          <w:rFonts w:ascii="Arial" w:hAnsi="Arial" w:cs="Arial"/>
        </w:rPr>
        <w:t>,</w:t>
      </w:r>
      <w:r>
        <w:rPr>
          <w:rFonts w:ascii="Arial" w:hAnsi="Arial" w:cs="Arial"/>
        </w:rPr>
        <w:t xml:space="preserve"> the information about deprivation was obtained from the 2019 Indices of Deprivation. </w:t>
      </w:r>
      <w:r w:rsidR="004C64A4" w:rsidRPr="00E810AA">
        <w:rPr>
          <w:rFonts w:ascii="Arial" w:hAnsi="Arial" w:cs="Arial"/>
        </w:rPr>
        <w:t xml:space="preserve">It is particularly worth noting that </w:t>
      </w:r>
      <w:r>
        <w:rPr>
          <w:rFonts w:ascii="Arial" w:hAnsi="Arial" w:cs="Arial"/>
        </w:rPr>
        <w:t>in the 2025 Indices of Deprivation there are now 14 Wards that are scoring 1 in the Living Environment decile and that th</w:t>
      </w:r>
      <w:r w:rsidR="00D13BF1">
        <w:rPr>
          <w:rFonts w:ascii="Arial" w:hAnsi="Arial" w:cs="Arial"/>
        </w:rPr>
        <w:t>is</w:t>
      </w:r>
      <w:r>
        <w:rPr>
          <w:rFonts w:ascii="Arial" w:hAnsi="Arial" w:cs="Arial"/>
        </w:rPr>
        <w:t xml:space="preserve"> number has increased. This will be a matter for monitoring in the future. </w:t>
      </w:r>
    </w:p>
    <w:p w14:paraId="7CE1577A" w14:textId="77777777" w:rsidR="00EE6F2C" w:rsidRPr="00FB5B93" w:rsidRDefault="00EE6F2C" w:rsidP="00FB5B93">
      <w:pPr>
        <w:spacing w:after="0" w:line="300" w:lineRule="atLeast"/>
        <w:rPr>
          <w:rFonts w:ascii="Arial" w:hAnsi="Arial" w:cs="Arial"/>
        </w:rPr>
      </w:pPr>
    </w:p>
    <w:p w14:paraId="6BE5EBFD" w14:textId="77777777" w:rsidR="0015244C" w:rsidRPr="00EE6F2C" w:rsidRDefault="00AC02B4" w:rsidP="00EE6F2C">
      <w:pPr>
        <w:spacing w:after="0" w:line="300" w:lineRule="atLeast"/>
        <w:ind w:firstLine="709"/>
        <w:rPr>
          <w:rFonts w:ascii="Arial" w:hAnsi="Arial" w:cs="Arial"/>
          <w:b/>
        </w:rPr>
      </w:pPr>
      <w:r>
        <w:rPr>
          <w:rFonts w:ascii="Arial" w:hAnsi="Arial" w:cs="Arial"/>
          <w:b/>
        </w:rPr>
        <w:t>E.</w:t>
      </w:r>
      <w:r>
        <w:rPr>
          <w:rFonts w:ascii="Arial" w:hAnsi="Arial" w:cs="Arial"/>
          <w:b/>
        </w:rPr>
        <w:tab/>
      </w:r>
      <w:r w:rsidR="0015244C" w:rsidRPr="00EE6F2C">
        <w:rPr>
          <w:rFonts w:ascii="Arial" w:hAnsi="Arial" w:cs="Arial"/>
          <w:b/>
        </w:rPr>
        <w:t xml:space="preserve">Private Rented Sector </w:t>
      </w:r>
      <w:r w:rsidR="006B75E6" w:rsidRPr="00EE6F2C">
        <w:rPr>
          <w:rFonts w:ascii="Arial" w:hAnsi="Arial" w:cs="Arial"/>
          <w:b/>
        </w:rPr>
        <w:t xml:space="preserve">Profile and Housing Benefits Claims </w:t>
      </w:r>
    </w:p>
    <w:p w14:paraId="6E9B2EBC" w14:textId="77777777" w:rsidR="00AC1435" w:rsidRPr="00FB5B93" w:rsidRDefault="00AC1435" w:rsidP="00FB5B93">
      <w:pPr>
        <w:spacing w:after="0" w:line="300" w:lineRule="atLeast"/>
        <w:rPr>
          <w:rFonts w:ascii="Arial" w:hAnsi="Arial" w:cs="Arial"/>
        </w:rPr>
      </w:pPr>
    </w:p>
    <w:p w14:paraId="525CDCCE" w14:textId="1E09AF03" w:rsidR="00E6532A" w:rsidRPr="00E810AA" w:rsidRDefault="005967FA" w:rsidP="00A80448">
      <w:pPr>
        <w:pStyle w:val="ListParagraph"/>
        <w:numPr>
          <w:ilvl w:val="1"/>
          <w:numId w:val="43"/>
        </w:numPr>
        <w:spacing w:after="0" w:line="300" w:lineRule="atLeast"/>
        <w:ind w:left="709" w:hanging="709"/>
        <w:rPr>
          <w:rFonts w:ascii="Arial" w:hAnsi="Arial" w:cs="Arial"/>
        </w:rPr>
      </w:pPr>
      <w:r>
        <w:rPr>
          <w:rFonts w:ascii="Arial" w:hAnsi="Arial" w:cs="Arial"/>
        </w:rPr>
        <w:t>Table 6 below</w:t>
      </w:r>
      <w:r w:rsidR="008B4538" w:rsidRPr="00E810AA">
        <w:rPr>
          <w:rFonts w:ascii="Arial" w:hAnsi="Arial" w:cs="Arial"/>
        </w:rPr>
        <w:t xml:space="preserve"> provides an overview of the private rented sector </w:t>
      </w:r>
      <w:r w:rsidR="009C0EEE">
        <w:rPr>
          <w:rFonts w:ascii="Arial" w:hAnsi="Arial" w:cs="Arial"/>
        </w:rPr>
        <w:t>for</w:t>
      </w:r>
      <w:r w:rsidR="008B4538" w:rsidRPr="00E810AA">
        <w:rPr>
          <w:rFonts w:ascii="Arial" w:hAnsi="Arial" w:cs="Arial"/>
        </w:rPr>
        <w:t xml:space="preserve"> Hyndburn and its position in the housing market of the Borough.</w:t>
      </w:r>
      <w:r w:rsidR="00FB5B93">
        <w:rPr>
          <w:rFonts w:ascii="Arial" w:hAnsi="Arial" w:cs="Arial"/>
        </w:rPr>
        <w:t xml:space="preserve"> </w:t>
      </w:r>
      <w:r w:rsidR="007A2B0C">
        <w:rPr>
          <w:rFonts w:ascii="Arial" w:hAnsi="Arial" w:cs="Arial"/>
        </w:rPr>
        <w:t>The data comes from the 2021 Census.</w:t>
      </w:r>
      <w:r w:rsidR="008B4538" w:rsidRPr="00E810AA">
        <w:rPr>
          <w:rFonts w:ascii="Arial" w:hAnsi="Arial" w:cs="Arial"/>
        </w:rPr>
        <w:t xml:space="preserve"> It has also included records on the</w:t>
      </w:r>
      <w:r w:rsidR="00E6532A" w:rsidRPr="00E810AA">
        <w:rPr>
          <w:rFonts w:ascii="Arial" w:hAnsi="Arial" w:cs="Arial"/>
        </w:rPr>
        <w:t xml:space="preserve"> number and percentage of claimants of housing benefits in the private rented sector</w:t>
      </w:r>
      <w:r w:rsidR="008B4538" w:rsidRPr="00E810AA">
        <w:rPr>
          <w:rFonts w:ascii="Arial" w:hAnsi="Arial" w:cs="Arial"/>
        </w:rPr>
        <w:t>.</w:t>
      </w:r>
    </w:p>
    <w:p w14:paraId="4F8FA413" w14:textId="77777777" w:rsidR="008B4538" w:rsidRPr="00E810AA" w:rsidRDefault="008B4538" w:rsidP="00E810AA">
      <w:pPr>
        <w:pStyle w:val="ListParagraph"/>
        <w:spacing w:after="0" w:line="300" w:lineRule="atLeast"/>
        <w:ind w:left="709"/>
        <w:rPr>
          <w:rFonts w:ascii="Arial" w:hAnsi="Arial" w:cs="Arial"/>
        </w:rPr>
      </w:pPr>
    </w:p>
    <w:p w14:paraId="58D7195B" w14:textId="5D64F974" w:rsidR="003E70FC" w:rsidRDefault="005967FA" w:rsidP="00A80448">
      <w:pPr>
        <w:pStyle w:val="ListParagraph"/>
        <w:numPr>
          <w:ilvl w:val="1"/>
          <w:numId w:val="43"/>
        </w:numPr>
        <w:spacing w:after="0" w:line="300" w:lineRule="atLeast"/>
        <w:ind w:left="709" w:hanging="709"/>
        <w:contextualSpacing w:val="0"/>
        <w:rPr>
          <w:rFonts w:ascii="Arial" w:hAnsi="Arial" w:cs="Arial"/>
        </w:rPr>
      </w:pPr>
      <w:r>
        <w:rPr>
          <w:rFonts w:ascii="Arial" w:hAnsi="Arial" w:cs="Arial"/>
        </w:rPr>
        <w:t>Table 6</w:t>
      </w:r>
      <w:r w:rsidR="00DC74F3">
        <w:rPr>
          <w:rFonts w:ascii="Arial" w:hAnsi="Arial" w:cs="Arial"/>
        </w:rPr>
        <w:t xml:space="preserve"> illustrates that all the Wards in the Borough have in some part higher levels of rented accommodation. </w:t>
      </w:r>
      <w:r w:rsidR="00D13BF1" w:rsidRPr="00D13BF1">
        <w:rPr>
          <w:rFonts w:ascii="Arial" w:hAnsi="Arial" w:cs="Arial"/>
        </w:rPr>
        <w:t>It is recognised that the proportion of private rented properties within these wards may reflect a range of social and economic factors. However, there appears to be a correlation between wards with higher levels of private rented accommodation and housing benefit claims and those with lower scores in the Index of Multiple Deprivation (IMD) and the Living Environment Deprivation domain.</w:t>
      </w:r>
    </w:p>
    <w:p w14:paraId="3A6096C2" w14:textId="77777777" w:rsidR="00971014" w:rsidRPr="00971014" w:rsidRDefault="00971014" w:rsidP="00971014">
      <w:pPr>
        <w:pStyle w:val="ListParagraph"/>
        <w:rPr>
          <w:rFonts w:ascii="Arial" w:hAnsi="Arial" w:cs="Arial"/>
        </w:rPr>
      </w:pPr>
    </w:p>
    <w:p w14:paraId="0EB11433" w14:textId="77777777" w:rsidR="00971014" w:rsidRDefault="00971014" w:rsidP="00971014">
      <w:pPr>
        <w:spacing w:after="0" w:line="300" w:lineRule="atLeast"/>
        <w:rPr>
          <w:rFonts w:ascii="Arial" w:hAnsi="Arial" w:cs="Arial"/>
        </w:rPr>
      </w:pPr>
    </w:p>
    <w:p w14:paraId="003898AC" w14:textId="77777777" w:rsidR="00971014" w:rsidRDefault="00971014" w:rsidP="00971014">
      <w:pPr>
        <w:spacing w:after="0" w:line="300" w:lineRule="atLeast"/>
        <w:rPr>
          <w:rFonts w:ascii="Arial" w:hAnsi="Arial" w:cs="Arial"/>
        </w:rPr>
      </w:pPr>
    </w:p>
    <w:p w14:paraId="6C1B34ED" w14:textId="77777777" w:rsidR="00971014" w:rsidRDefault="00971014" w:rsidP="00971014">
      <w:pPr>
        <w:spacing w:after="0" w:line="300" w:lineRule="atLeast"/>
        <w:rPr>
          <w:rFonts w:ascii="Arial" w:hAnsi="Arial" w:cs="Arial"/>
        </w:rPr>
      </w:pPr>
    </w:p>
    <w:p w14:paraId="6F24C557" w14:textId="77777777" w:rsidR="00971014" w:rsidRDefault="00971014" w:rsidP="00971014">
      <w:pPr>
        <w:spacing w:after="0" w:line="300" w:lineRule="atLeast"/>
        <w:rPr>
          <w:rFonts w:ascii="Arial" w:hAnsi="Arial" w:cs="Arial"/>
        </w:rPr>
      </w:pPr>
    </w:p>
    <w:p w14:paraId="35DC4239" w14:textId="77777777" w:rsidR="00971014" w:rsidRDefault="00971014" w:rsidP="00971014">
      <w:pPr>
        <w:spacing w:after="0" w:line="300" w:lineRule="atLeast"/>
        <w:rPr>
          <w:rFonts w:ascii="Arial" w:hAnsi="Arial" w:cs="Arial"/>
        </w:rPr>
      </w:pPr>
    </w:p>
    <w:p w14:paraId="41078DF3" w14:textId="77777777" w:rsidR="00971014" w:rsidRDefault="00971014" w:rsidP="00971014">
      <w:pPr>
        <w:spacing w:after="0" w:line="300" w:lineRule="atLeast"/>
        <w:rPr>
          <w:rFonts w:ascii="Arial" w:hAnsi="Arial" w:cs="Arial"/>
        </w:rPr>
      </w:pPr>
    </w:p>
    <w:p w14:paraId="1FB7095A" w14:textId="77777777" w:rsidR="00971014" w:rsidRDefault="00971014" w:rsidP="00971014">
      <w:pPr>
        <w:spacing w:after="0" w:line="300" w:lineRule="atLeast"/>
        <w:rPr>
          <w:rFonts w:ascii="Arial" w:hAnsi="Arial" w:cs="Arial"/>
        </w:rPr>
      </w:pPr>
    </w:p>
    <w:p w14:paraId="169BE474" w14:textId="77777777" w:rsidR="00971014" w:rsidRDefault="00971014" w:rsidP="00971014">
      <w:pPr>
        <w:spacing w:after="0" w:line="300" w:lineRule="atLeast"/>
        <w:rPr>
          <w:rFonts w:ascii="Arial" w:hAnsi="Arial" w:cs="Arial"/>
        </w:rPr>
      </w:pPr>
    </w:p>
    <w:p w14:paraId="5EF2EF31" w14:textId="77777777" w:rsidR="00971014" w:rsidRDefault="00971014" w:rsidP="00971014">
      <w:pPr>
        <w:spacing w:after="0" w:line="300" w:lineRule="atLeast"/>
        <w:rPr>
          <w:rFonts w:ascii="Arial" w:hAnsi="Arial" w:cs="Arial"/>
        </w:rPr>
      </w:pPr>
    </w:p>
    <w:p w14:paraId="2A3F4A40" w14:textId="77777777" w:rsidR="00971014" w:rsidRDefault="00971014" w:rsidP="00971014">
      <w:pPr>
        <w:spacing w:after="0" w:line="300" w:lineRule="atLeast"/>
        <w:rPr>
          <w:rFonts w:ascii="Arial" w:hAnsi="Arial" w:cs="Arial"/>
        </w:rPr>
      </w:pPr>
    </w:p>
    <w:p w14:paraId="5F98CA53" w14:textId="77777777" w:rsidR="00971014" w:rsidRDefault="00971014" w:rsidP="00971014">
      <w:pPr>
        <w:spacing w:after="0" w:line="300" w:lineRule="atLeast"/>
        <w:rPr>
          <w:rFonts w:ascii="Arial" w:hAnsi="Arial" w:cs="Arial"/>
        </w:rPr>
      </w:pPr>
    </w:p>
    <w:p w14:paraId="463A01FB" w14:textId="77777777" w:rsidR="00971014" w:rsidRDefault="00971014" w:rsidP="00971014">
      <w:pPr>
        <w:spacing w:after="0" w:line="300" w:lineRule="atLeast"/>
        <w:rPr>
          <w:rFonts w:ascii="Arial" w:hAnsi="Arial" w:cs="Arial"/>
        </w:rPr>
      </w:pPr>
    </w:p>
    <w:p w14:paraId="2E7485F1" w14:textId="77777777" w:rsidR="00971014" w:rsidRDefault="00971014" w:rsidP="00971014">
      <w:pPr>
        <w:spacing w:after="0" w:line="300" w:lineRule="atLeast"/>
        <w:rPr>
          <w:rFonts w:ascii="Arial" w:hAnsi="Arial" w:cs="Arial"/>
        </w:rPr>
      </w:pPr>
    </w:p>
    <w:p w14:paraId="77999FE6" w14:textId="77777777" w:rsidR="00971014" w:rsidRDefault="00971014" w:rsidP="00971014">
      <w:pPr>
        <w:spacing w:after="0" w:line="300" w:lineRule="atLeast"/>
        <w:rPr>
          <w:rFonts w:ascii="Arial" w:hAnsi="Arial" w:cs="Arial"/>
        </w:rPr>
      </w:pPr>
    </w:p>
    <w:p w14:paraId="78E243EE" w14:textId="77777777" w:rsidR="00971014" w:rsidRDefault="00971014" w:rsidP="00971014">
      <w:pPr>
        <w:spacing w:after="0" w:line="300" w:lineRule="atLeast"/>
        <w:rPr>
          <w:rFonts w:ascii="Arial" w:hAnsi="Arial" w:cs="Arial"/>
        </w:rPr>
      </w:pPr>
    </w:p>
    <w:p w14:paraId="24A125CA" w14:textId="77777777" w:rsidR="00971014" w:rsidRDefault="00971014" w:rsidP="00971014">
      <w:pPr>
        <w:spacing w:after="0" w:line="300" w:lineRule="atLeast"/>
        <w:rPr>
          <w:rFonts w:ascii="Arial" w:hAnsi="Arial" w:cs="Arial"/>
        </w:rPr>
      </w:pPr>
    </w:p>
    <w:p w14:paraId="538670CE" w14:textId="77777777" w:rsidR="00971014" w:rsidRDefault="00971014" w:rsidP="00971014">
      <w:pPr>
        <w:spacing w:after="0" w:line="300" w:lineRule="atLeast"/>
        <w:rPr>
          <w:rFonts w:ascii="Arial" w:hAnsi="Arial" w:cs="Arial"/>
        </w:rPr>
      </w:pPr>
    </w:p>
    <w:p w14:paraId="5F84C4C4" w14:textId="7D8533E6" w:rsidR="00971014" w:rsidRPr="00971014" w:rsidRDefault="00971014" w:rsidP="00971014">
      <w:pPr>
        <w:pStyle w:val="Caption"/>
        <w:ind w:firstLine="720"/>
        <w:rPr>
          <w:rFonts w:ascii="Arial" w:hAnsi="Arial" w:cs="Arial"/>
          <w:b/>
          <w:bCs/>
          <w:i w:val="0"/>
          <w:iCs w:val="0"/>
          <w:sz w:val="22"/>
          <w:szCs w:val="22"/>
        </w:rPr>
      </w:pPr>
      <w:r w:rsidRPr="00971014">
        <w:rPr>
          <w:rFonts w:ascii="Arial" w:hAnsi="Arial" w:cs="Arial"/>
          <w:b/>
          <w:bCs/>
          <w:i w:val="0"/>
          <w:iCs w:val="0"/>
          <w:color w:val="000000" w:themeColor="text1"/>
          <w:sz w:val="22"/>
          <w:szCs w:val="22"/>
        </w:rPr>
        <w:lastRenderedPageBreak/>
        <w:t>Table 6 - Rented Housing Sector Information</w:t>
      </w:r>
    </w:p>
    <w:p w14:paraId="67191BCB" w14:textId="77777777" w:rsidR="005967FA" w:rsidRDefault="006B75E6" w:rsidP="005967FA">
      <w:pPr>
        <w:pStyle w:val="ListParagraph"/>
        <w:keepNext/>
        <w:spacing w:after="0" w:line="300" w:lineRule="atLeast"/>
      </w:pPr>
      <w:r w:rsidRPr="00E810AA">
        <w:rPr>
          <w:rFonts w:ascii="Arial" w:hAnsi="Arial" w:cs="Arial"/>
          <w:noProof/>
          <w:lang w:eastAsia="en-GB"/>
        </w:rPr>
        <w:drawing>
          <wp:inline distT="0" distB="0" distL="0" distR="0" wp14:anchorId="3BA7A18F" wp14:editId="10009BB5">
            <wp:extent cx="4769871" cy="78333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4099" cy="7856726"/>
                    </a:xfrm>
                    <a:prstGeom prst="rect">
                      <a:avLst/>
                    </a:prstGeom>
                    <a:noFill/>
                    <a:ln>
                      <a:noFill/>
                    </a:ln>
                  </pic:spPr>
                </pic:pic>
              </a:graphicData>
            </a:graphic>
          </wp:inline>
        </w:drawing>
      </w:r>
    </w:p>
    <w:p w14:paraId="19AA5DEA" w14:textId="77777777" w:rsidR="00FB5B93" w:rsidRDefault="00FB5B93" w:rsidP="00E810AA">
      <w:pPr>
        <w:pStyle w:val="ListParagraph"/>
        <w:spacing w:after="0" w:line="300" w:lineRule="atLeast"/>
        <w:rPr>
          <w:rFonts w:ascii="Arial" w:hAnsi="Arial" w:cs="Arial"/>
        </w:rPr>
      </w:pPr>
    </w:p>
    <w:p w14:paraId="50A17175" w14:textId="77777777" w:rsidR="00971014" w:rsidRDefault="00971014" w:rsidP="00EC52F7">
      <w:pPr>
        <w:spacing w:after="0" w:line="300" w:lineRule="atLeast"/>
        <w:ind w:firstLine="709"/>
        <w:rPr>
          <w:rFonts w:ascii="Arial" w:hAnsi="Arial" w:cs="Arial"/>
          <w:b/>
        </w:rPr>
      </w:pPr>
    </w:p>
    <w:p w14:paraId="455A1A97" w14:textId="77777777" w:rsidR="00971014" w:rsidRDefault="00971014" w:rsidP="00EC52F7">
      <w:pPr>
        <w:spacing w:after="0" w:line="300" w:lineRule="atLeast"/>
        <w:ind w:firstLine="709"/>
        <w:rPr>
          <w:rFonts w:ascii="Arial" w:hAnsi="Arial" w:cs="Arial"/>
          <w:b/>
        </w:rPr>
      </w:pPr>
    </w:p>
    <w:p w14:paraId="19AFBEFF" w14:textId="77777777" w:rsidR="00971014" w:rsidRDefault="00971014" w:rsidP="00EC52F7">
      <w:pPr>
        <w:spacing w:after="0" w:line="300" w:lineRule="atLeast"/>
        <w:ind w:firstLine="709"/>
        <w:rPr>
          <w:rFonts w:ascii="Arial" w:hAnsi="Arial" w:cs="Arial"/>
          <w:b/>
        </w:rPr>
      </w:pPr>
    </w:p>
    <w:p w14:paraId="35891CD1" w14:textId="2CBAEA00" w:rsidR="002E5D00" w:rsidRPr="00EC52F7" w:rsidRDefault="00FB5B93" w:rsidP="00EC52F7">
      <w:pPr>
        <w:spacing w:after="0" w:line="300" w:lineRule="atLeast"/>
        <w:ind w:firstLine="709"/>
        <w:rPr>
          <w:rFonts w:ascii="Arial" w:hAnsi="Arial" w:cs="Arial"/>
          <w:b/>
        </w:rPr>
      </w:pPr>
      <w:r>
        <w:rPr>
          <w:rFonts w:ascii="Arial" w:hAnsi="Arial" w:cs="Arial"/>
          <w:b/>
        </w:rPr>
        <w:t>F.</w:t>
      </w:r>
      <w:r>
        <w:rPr>
          <w:rFonts w:ascii="Arial" w:hAnsi="Arial" w:cs="Arial"/>
          <w:b/>
        </w:rPr>
        <w:tab/>
      </w:r>
      <w:r w:rsidR="002E5D00" w:rsidRPr="00EC52F7">
        <w:rPr>
          <w:rFonts w:ascii="Arial" w:hAnsi="Arial" w:cs="Arial"/>
          <w:b/>
        </w:rPr>
        <w:t xml:space="preserve">Imported Housing Needs </w:t>
      </w:r>
    </w:p>
    <w:p w14:paraId="68235810" w14:textId="77777777" w:rsidR="00AC1435" w:rsidRPr="00EC52F7" w:rsidRDefault="00AC1435" w:rsidP="00EC52F7">
      <w:pPr>
        <w:spacing w:after="0" w:line="300" w:lineRule="atLeast"/>
        <w:rPr>
          <w:rFonts w:ascii="Arial" w:hAnsi="Arial" w:cs="Arial"/>
        </w:rPr>
      </w:pPr>
    </w:p>
    <w:p w14:paraId="2EF64B5C" w14:textId="02622C33" w:rsidR="002E5D00" w:rsidRDefault="0025126C" w:rsidP="00A80448">
      <w:pPr>
        <w:pStyle w:val="ListParagraph"/>
        <w:numPr>
          <w:ilvl w:val="1"/>
          <w:numId w:val="43"/>
        </w:numPr>
        <w:spacing w:after="0" w:line="300" w:lineRule="atLeast"/>
        <w:ind w:left="709" w:hanging="709"/>
        <w:contextualSpacing w:val="0"/>
        <w:rPr>
          <w:rFonts w:ascii="Arial" w:hAnsi="Arial" w:cs="Arial"/>
        </w:rPr>
      </w:pPr>
      <w:r>
        <w:rPr>
          <w:rFonts w:ascii="Arial" w:hAnsi="Arial" w:cs="Arial"/>
        </w:rPr>
        <w:t>Between 201</w:t>
      </w:r>
      <w:r w:rsidR="00EB3D86">
        <w:rPr>
          <w:rFonts w:ascii="Arial" w:hAnsi="Arial" w:cs="Arial"/>
        </w:rPr>
        <w:t>9</w:t>
      </w:r>
      <w:r>
        <w:rPr>
          <w:rFonts w:ascii="Arial" w:hAnsi="Arial" w:cs="Arial"/>
        </w:rPr>
        <w:t xml:space="preserve"> and </w:t>
      </w:r>
      <w:r w:rsidR="001F3E1A">
        <w:rPr>
          <w:rFonts w:ascii="Arial" w:hAnsi="Arial" w:cs="Arial"/>
        </w:rPr>
        <w:t xml:space="preserve">2024, Hyndburn has witnessed a steady increase in the number of homeless </w:t>
      </w:r>
      <w:r w:rsidR="00FA7A1B">
        <w:rPr>
          <w:rFonts w:ascii="Arial" w:hAnsi="Arial" w:cs="Arial"/>
        </w:rPr>
        <w:t>applications</w:t>
      </w:r>
      <w:r w:rsidR="001F3E1A">
        <w:rPr>
          <w:rFonts w:ascii="Arial" w:hAnsi="Arial" w:cs="Arial"/>
        </w:rPr>
        <w:t xml:space="preserve"> e</w:t>
      </w:r>
      <w:r w:rsidR="00EB3D86">
        <w:rPr>
          <w:rFonts w:ascii="Arial" w:hAnsi="Arial" w:cs="Arial"/>
        </w:rPr>
        <w:t>very year</w:t>
      </w:r>
      <w:r w:rsidR="00FA7A1B">
        <w:rPr>
          <w:rFonts w:ascii="Arial" w:hAnsi="Arial" w:cs="Arial"/>
        </w:rPr>
        <w:t>.</w:t>
      </w:r>
      <w:r w:rsidR="00FB5B93">
        <w:rPr>
          <w:rFonts w:ascii="Arial" w:hAnsi="Arial" w:cs="Arial"/>
        </w:rPr>
        <w:t xml:space="preserve"> </w:t>
      </w:r>
      <w:r w:rsidR="00FA7A1B">
        <w:rPr>
          <w:rFonts w:ascii="Arial" w:hAnsi="Arial" w:cs="Arial"/>
        </w:rPr>
        <w:t xml:space="preserve"> In 2023/2024 alone, the Council has received a total</w:t>
      </w:r>
      <w:r w:rsidR="00603F92">
        <w:rPr>
          <w:rFonts w:ascii="Arial" w:hAnsi="Arial" w:cs="Arial"/>
        </w:rPr>
        <w:t xml:space="preserve"> of 1,732 homeless applications</w:t>
      </w:r>
      <w:r w:rsidR="002E5D00" w:rsidRPr="00E810AA">
        <w:rPr>
          <w:rFonts w:ascii="Arial" w:hAnsi="Arial" w:cs="Arial"/>
        </w:rPr>
        <w:t>.</w:t>
      </w:r>
      <w:r w:rsidR="00FB5B93">
        <w:rPr>
          <w:rFonts w:ascii="Arial" w:hAnsi="Arial" w:cs="Arial"/>
        </w:rPr>
        <w:t xml:space="preserve"> </w:t>
      </w:r>
      <w:r w:rsidR="002E5D00" w:rsidRPr="00E810AA">
        <w:rPr>
          <w:rFonts w:ascii="Arial" w:hAnsi="Arial" w:cs="Arial"/>
        </w:rPr>
        <w:t xml:space="preserve">Evidence from the Council’s Housing Team </w:t>
      </w:r>
      <w:r w:rsidR="00603F92">
        <w:rPr>
          <w:rFonts w:ascii="Arial" w:hAnsi="Arial" w:cs="Arial"/>
        </w:rPr>
        <w:t xml:space="preserve">also suggests </w:t>
      </w:r>
      <w:r w:rsidR="002E5D00" w:rsidRPr="00E810AA">
        <w:rPr>
          <w:rFonts w:ascii="Arial" w:hAnsi="Arial" w:cs="Arial"/>
        </w:rPr>
        <w:t xml:space="preserve">that </w:t>
      </w:r>
      <w:r w:rsidR="00603F92">
        <w:rPr>
          <w:rFonts w:ascii="Arial" w:hAnsi="Arial" w:cs="Arial"/>
        </w:rPr>
        <w:t>Hyndburn also accepts homeless</w:t>
      </w:r>
      <w:r w:rsidR="002E5D00" w:rsidRPr="00E810AA">
        <w:rPr>
          <w:rFonts w:ascii="Arial" w:hAnsi="Arial" w:cs="Arial"/>
        </w:rPr>
        <w:t xml:space="preserve"> referrals</w:t>
      </w:r>
      <w:r w:rsidR="006C374F">
        <w:rPr>
          <w:rFonts w:ascii="Arial" w:hAnsi="Arial" w:cs="Arial"/>
        </w:rPr>
        <w:t xml:space="preserve"> from other local authorities if it is determined that an applicant has a local connection with Hyndburn. </w:t>
      </w:r>
      <w:r w:rsidR="002E5D00" w:rsidRPr="00E810AA">
        <w:rPr>
          <w:rFonts w:ascii="Arial" w:hAnsi="Arial" w:cs="Arial"/>
        </w:rPr>
        <w:t xml:space="preserve"> </w:t>
      </w:r>
    </w:p>
    <w:p w14:paraId="39B5D154" w14:textId="77777777" w:rsidR="00AC1435" w:rsidRPr="00E810AA" w:rsidRDefault="00AC1435" w:rsidP="00AC1435">
      <w:pPr>
        <w:pStyle w:val="ListParagraph"/>
        <w:spacing w:after="0" w:line="300" w:lineRule="atLeast"/>
        <w:ind w:left="709"/>
        <w:contextualSpacing w:val="0"/>
        <w:rPr>
          <w:rFonts w:ascii="Arial" w:hAnsi="Arial" w:cs="Arial"/>
        </w:rPr>
      </w:pPr>
    </w:p>
    <w:p w14:paraId="0F2C533E" w14:textId="2CCDA4BB" w:rsidR="002E5D00" w:rsidRDefault="002E5D00" w:rsidP="00A80448">
      <w:pPr>
        <w:pStyle w:val="ListParagraph"/>
        <w:numPr>
          <w:ilvl w:val="1"/>
          <w:numId w:val="43"/>
        </w:numPr>
        <w:spacing w:after="0" w:line="300" w:lineRule="atLeast"/>
        <w:ind w:left="709" w:hanging="709"/>
        <w:contextualSpacing w:val="0"/>
        <w:rPr>
          <w:rFonts w:ascii="Arial" w:hAnsi="Arial" w:cs="Arial"/>
        </w:rPr>
      </w:pPr>
      <w:r w:rsidRPr="00E810AA">
        <w:rPr>
          <w:rFonts w:ascii="Arial" w:hAnsi="Arial" w:cs="Arial"/>
        </w:rPr>
        <w:t xml:space="preserve">There is further evidence that private landlords and government partnerships import people from other counties and regions of the country to fill the available bed spaces in HMOs, including from homelessness referrals, prison release referrals and violent offenders subject to bail conditions. </w:t>
      </w:r>
      <w:r w:rsidR="00FB5B93">
        <w:rPr>
          <w:rFonts w:ascii="Arial" w:hAnsi="Arial" w:cs="Arial"/>
        </w:rPr>
        <w:t xml:space="preserve"> </w:t>
      </w:r>
      <w:r w:rsidRPr="00E810AA">
        <w:rPr>
          <w:rFonts w:ascii="Arial" w:hAnsi="Arial" w:cs="Arial"/>
        </w:rPr>
        <w:t>It is understood that the unusually high number of referrals is led by the low property prices, and the lack of planning control</w:t>
      </w:r>
      <w:r w:rsidR="006437FE">
        <w:rPr>
          <w:rFonts w:ascii="Arial" w:hAnsi="Arial" w:cs="Arial"/>
        </w:rPr>
        <w:t>s</w:t>
      </w:r>
      <w:r w:rsidRPr="00E810AA">
        <w:rPr>
          <w:rFonts w:ascii="Arial" w:hAnsi="Arial" w:cs="Arial"/>
        </w:rPr>
        <w:t xml:space="preserve"> for the formation of small HMOs through change</w:t>
      </w:r>
      <w:r w:rsidR="006437FE">
        <w:rPr>
          <w:rFonts w:ascii="Arial" w:hAnsi="Arial" w:cs="Arial"/>
        </w:rPr>
        <w:t>s</w:t>
      </w:r>
      <w:r w:rsidRPr="00E810AA">
        <w:rPr>
          <w:rFonts w:ascii="Arial" w:hAnsi="Arial" w:cs="Arial"/>
        </w:rPr>
        <w:t xml:space="preserve"> of use of dwelling houses (under the provision of GPDO (2015) (Part 3, Class L (Part b)). </w:t>
      </w:r>
      <w:r w:rsidR="00FB5B93">
        <w:rPr>
          <w:rFonts w:ascii="Arial" w:hAnsi="Arial" w:cs="Arial"/>
        </w:rPr>
        <w:t xml:space="preserve"> </w:t>
      </w:r>
    </w:p>
    <w:p w14:paraId="32822F31" w14:textId="77777777" w:rsidR="00AC1435" w:rsidRPr="00EC52F7" w:rsidRDefault="00AC1435" w:rsidP="00EC52F7">
      <w:pPr>
        <w:spacing w:after="0" w:line="300" w:lineRule="atLeast"/>
        <w:rPr>
          <w:rFonts w:ascii="Arial" w:hAnsi="Arial" w:cs="Arial"/>
        </w:rPr>
      </w:pPr>
    </w:p>
    <w:p w14:paraId="47593115" w14:textId="7019FE43" w:rsidR="00BD463A" w:rsidRPr="00BA15D0" w:rsidRDefault="00971014" w:rsidP="00A80448">
      <w:pPr>
        <w:pStyle w:val="ListParagraph"/>
        <w:numPr>
          <w:ilvl w:val="1"/>
          <w:numId w:val="43"/>
        </w:numPr>
        <w:spacing w:after="0" w:line="300" w:lineRule="atLeast"/>
        <w:ind w:left="709" w:hanging="709"/>
        <w:contextualSpacing w:val="0"/>
        <w:rPr>
          <w:rFonts w:ascii="Arial" w:hAnsi="Arial" w:cs="Arial"/>
        </w:rPr>
      </w:pPr>
      <w:r>
        <w:rPr>
          <w:rFonts w:ascii="Arial" w:hAnsi="Arial" w:cs="Arial"/>
        </w:rPr>
        <w:t>I</w:t>
      </w:r>
      <w:r w:rsidR="00D02ED1" w:rsidRPr="00BA15D0">
        <w:rPr>
          <w:rFonts w:ascii="Arial" w:hAnsi="Arial" w:cs="Arial"/>
        </w:rPr>
        <w:t>n September 2024, government partnership</w:t>
      </w:r>
      <w:r w:rsidR="00FB5B93" w:rsidRPr="00BA15D0">
        <w:rPr>
          <w:rFonts w:ascii="Arial" w:hAnsi="Arial" w:cs="Arial"/>
        </w:rPr>
        <w:t>s operate</w:t>
      </w:r>
      <w:r>
        <w:rPr>
          <w:rFonts w:ascii="Arial" w:hAnsi="Arial" w:cs="Arial"/>
        </w:rPr>
        <w:t>d</w:t>
      </w:r>
      <w:r w:rsidR="00D02ED1" w:rsidRPr="00BA15D0">
        <w:rPr>
          <w:rFonts w:ascii="Arial" w:hAnsi="Arial" w:cs="Arial"/>
        </w:rPr>
        <w:t xml:space="preserve"> 83 HMO properties in Hyndburn, providing a total of 357 bed spaces.</w:t>
      </w:r>
      <w:r w:rsidR="00FB5B93" w:rsidRPr="00BA15D0">
        <w:rPr>
          <w:rFonts w:ascii="Arial" w:hAnsi="Arial" w:cs="Arial"/>
        </w:rPr>
        <w:t xml:space="preserve"> </w:t>
      </w:r>
      <w:r w:rsidR="00D02ED1" w:rsidRPr="00BA15D0">
        <w:rPr>
          <w:rFonts w:ascii="Arial" w:hAnsi="Arial" w:cs="Arial"/>
        </w:rPr>
        <w:t xml:space="preserve"> It is noted that about 3-5 properties are added or removed each month from the list of the pro</w:t>
      </w:r>
      <w:r w:rsidR="00FB5B93" w:rsidRPr="00BA15D0">
        <w:rPr>
          <w:rFonts w:ascii="Arial" w:hAnsi="Arial" w:cs="Arial"/>
        </w:rPr>
        <w:t>perties, which is due to the termination</w:t>
      </w:r>
      <w:r w:rsidR="00D02ED1" w:rsidRPr="00BA15D0">
        <w:rPr>
          <w:rFonts w:ascii="Arial" w:hAnsi="Arial" w:cs="Arial"/>
        </w:rPr>
        <w:t xml:space="preserve"> of contracts of some properties and </w:t>
      </w:r>
      <w:r w:rsidR="00E07776" w:rsidRPr="00BA15D0">
        <w:rPr>
          <w:rFonts w:ascii="Arial" w:hAnsi="Arial" w:cs="Arial"/>
        </w:rPr>
        <w:t xml:space="preserve">acquisition of new properties. </w:t>
      </w:r>
      <w:r w:rsidR="00FB5B93" w:rsidRPr="00BA15D0">
        <w:rPr>
          <w:rFonts w:ascii="Arial" w:hAnsi="Arial" w:cs="Arial"/>
        </w:rPr>
        <w:t xml:space="preserve"> </w:t>
      </w:r>
      <w:r w:rsidR="00E07776" w:rsidRPr="00BA15D0">
        <w:rPr>
          <w:rFonts w:ascii="Arial" w:hAnsi="Arial" w:cs="Arial"/>
        </w:rPr>
        <w:t xml:space="preserve">The records </w:t>
      </w:r>
      <w:r w:rsidR="00BA15D0" w:rsidRPr="00BA15D0">
        <w:rPr>
          <w:rFonts w:ascii="Arial" w:hAnsi="Arial" w:cs="Arial"/>
        </w:rPr>
        <w:t xml:space="preserve">at that time </w:t>
      </w:r>
      <w:r w:rsidR="00E07776" w:rsidRPr="00BA15D0">
        <w:rPr>
          <w:rFonts w:ascii="Arial" w:hAnsi="Arial" w:cs="Arial"/>
        </w:rPr>
        <w:t xml:space="preserve">provided by the Council’s Housing Strategy Team indicate that 71 out of 83 HMOs currently contracted with the government partnership are located with </w:t>
      </w:r>
      <w:r w:rsidR="009624D3" w:rsidRPr="00BA15D0">
        <w:rPr>
          <w:rFonts w:ascii="Arial" w:hAnsi="Arial" w:cs="Arial"/>
        </w:rPr>
        <w:t xml:space="preserve">the identified wards with higher numbers of HMOs. </w:t>
      </w:r>
      <w:r w:rsidR="00FB5B93" w:rsidRPr="00BA15D0">
        <w:rPr>
          <w:rFonts w:ascii="Arial" w:hAnsi="Arial" w:cs="Arial"/>
        </w:rPr>
        <w:t xml:space="preserve"> </w:t>
      </w:r>
      <w:r w:rsidR="009624D3" w:rsidRPr="00BA15D0">
        <w:rPr>
          <w:rFonts w:ascii="Arial" w:hAnsi="Arial" w:cs="Arial"/>
        </w:rPr>
        <w:t xml:space="preserve">The distribution of those </w:t>
      </w:r>
      <w:r w:rsidR="00956D64" w:rsidRPr="00BA15D0">
        <w:rPr>
          <w:rFonts w:ascii="Arial" w:hAnsi="Arial" w:cs="Arial"/>
        </w:rPr>
        <w:t xml:space="preserve">71 HMOs </w:t>
      </w:r>
      <w:r w:rsidR="00BA15D0">
        <w:rPr>
          <w:rFonts w:ascii="Arial" w:hAnsi="Arial" w:cs="Arial"/>
        </w:rPr>
        <w:t>were</w:t>
      </w:r>
      <w:r w:rsidR="00956D64" w:rsidRPr="00BA15D0">
        <w:rPr>
          <w:rFonts w:ascii="Arial" w:hAnsi="Arial" w:cs="Arial"/>
        </w:rPr>
        <w:t xml:space="preserve"> as follows: </w:t>
      </w:r>
    </w:p>
    <w:p w14:paraId="2C6055B4" w14:textId="77777777" w:rsidR="006437FE" w:rsidRPr="00BA15D0" w:rsidRDefault="006437FE" w:rsidP="006437FE">
      <w:pPr>
        <w:pStyle w:val="ListParagraph"/>
        <w:rPr>
          <w:rFonts w:ascii="Arial" w:hAnsi="Arial" w:cs="Arial"/>
        </w:rPr>
      </w:pPr>
    </w:p>
    <w:p w14:paraId="43BCDB01" w14:textId="77777777" w:rsidR="00956D64" w:rsidRPr="00BA15D0" w:rsidRDefault="00956D64" w:rsidP="00E810AA">
      <w:pPr>
        <w:pStyle w:val="ListParagraph"/>
        <w:numPr>
          <w:ilvl w:val="0"/>
          <w:numId w:val="27"/>
        </w:numPr>
        <w:spacing w:after="0" w:line="300" w:lineRule="atLeast"/>
        <w:rPr>
          <w:rFonts w:ascii="Arial" w:hAnsi="Arial" w:cs="Arial"/>
        </w:rPr>
      </w:pPr>
      <w:r w:rsidRPr="00BA15D0">
        <w:rPr>
          <w:rFonts w:ascii="Arial" w:hAnsi="Arial" w:cs="Arial"/>
        </w:rPr>
        <w:t xml:space="preserve">Spring Hill – 9 </w:t>
      </w:r>
    </w:p>
    <w:p w14:paraId="3F2A902D" w14:textId="77777777" w:rsidR="00956D64" w:rsidRPr="00BA15D0" w:rsidRDefault="00956D64" w:rsidP="00E810AA">
      <w:pPr>
        <w:pStyle w:val="ListParagraph"/>
        <w:numPr>
          <w:ilvl w:val="0"/>
          <w:numId w:val="27"/>
        </w:numPr>
        <w:spacing w:after="0" w:line="300" w:lineRule="atLeast"/>
        <w:rPr>
          <w:rFonts w:ascii="Arial" w:hAnsi="Arial" w:cs="Arial"/>
        </w:rPr>
      </w:pPr>
      <w:r w:rsidRPr="00BA15D0">
        <w:rPr>
          <w:rFonts w:ascii="Arial" w:hAnsi="Arial" w:cs="Arial"/>
        </w:rPr>
        <w:t>Netherton – 9</w:t>
      </w:r>
    </w:p>
    <w:p w14:paraId="5EE9EDE1" w14:textId="77777777" w:rsidR="00956D64" w:rsidRPr="00BA15D0" w:rsidRDefault="00956D64" w:rsidP="00E810AA">
      <w:pPr>
        <w:pStyle w:val="ListParagraph"/>
        <w:numPr>
          <w:ilvl w:val="0"/>
          <w:numId w:val="27"/>
        </w:numPr>
        <w:spacing w:after="0" w:line="300" w:lineRule="atLeast"/>
        <w:rPr>
          <w:rFonts w:ascii="Arial" w:hAnsi="Arial" w:cs="Arial"/>
        </w:rPr>
      </w:pPr>
      <w:r w:rsidRPr="00BA15D0">
        <w:rPr>
          <w:rFonts w:ascii="Arial" w:hAnsi="Arial" w:cs="Arial"/>
        </w:rPr>
        <w:t xml:space="preserve">St. Andrew’s – 7 </w:t>
      </w:r>
    </w:p>
    <w:p w14:paraId="4F57C148" w14:textId="77777777" w:rsidR="00956D64" w:rsidRPr="00BA15D0" w:rsidRDefault="00956D64" w:rsidP="00E810AA">
      <w:pPr>
        <w:pStyle w:val="ListParagraph"/>
        <w:numPr>
          <w:ilvl w:val="0"/>
          <w:numId w:val="27"/>
        </w:numPr>
        <w:spacing w:after="0" w:line="300" w:lineRule="atLeast"/>
        <w:rPr>
          <w:rFonts w:ascii="Arial" w:hAnsi="Arial" w:cs="Arial"/>
        </w:rPr>
      </w:pPr>
      <w:r w:rsidRPr="00BA15D0">
        <w:rPr>
          <w:rFonts w:ascii="Arial" w:hAnsi="Arial" w:cs="Arial"/>
        </w:rPr>
        <w:t>Church – 19</w:t>
      </w:r>
    </w:p>
    <w:p w14:paraId="749EBA40" w14:textId="77777777" w:rsidR="00956D64" w:rsidRPr="00BA15D0" w:rsidRDefault="00956D64" w:rsidP="00E810AA">
      <w:pPr>
        <w:pStyle w:val="ListParagraph"/>
        <w:numPr>
          <w:ilvl w:val="0"/>
          <w:numId w:val="27"/>
        </w:numPr>
        <w:spacing w:after="0" w:line="300" w:lineRule="atLeast"/>
        <w:rPr>
          <w:rFonts w:ascii="Arial" w:hAnsi="Arial" w:cs="Arial"/>
        </w:rPr>
      </w:pPr>
      <w:r w:rsidRPr="00BA15D0">
        <w:rPr>
          <w:rFonts w:ascii="Arial" w:hAnsi="Arial" w:cs="Arial"/>
        </w:rPr>
        <w:t>Central – 3</w:t>
      </w:r>
    </w:p>
    <w:p w14:paraId="085C13F4" w14:textId="77777777" w:rsidR="00956D64" w:rsidRPr="00BA15D0" w:rsidRDefault="00956D64" w:rsidP="00E810AA">
      <w:pPr>
        <w:pStyle w:val="ListParagraph"/>
        <w:numPr>
          <w:ilvl w:val="0"/>
          <w:numId w:val="27"/>
        </w:numPr>
        <w:spacing w:after="0" w:line="300" w:lineRule="atLeast"/>
        <w:rPr>
          <w:rFonts w:ascii="Arial" w:hAnsi="Arial" w:cs="Arial"/>
        </w:rPr>
      </w:pPr>
      <w:r w:rsidRPr="00BA15D0">
        <w:rPr>
          <w:rFonts w:ascii="Arial" w:hAnsi="Arial" w:cs="Arial"/>
        </w:rPr>
        <w:t>Rishton – 12</w:t>
      </w:r>
    </w:p>
    <w:p w14:paraId="4F761DEE" w14:textId="77777777" w:rsidR="00956D64" w:rsidRPr="00BA15D0" w:rsidRDefault="00956D64" w:rsidP="00E810AA">
      <w:pPr>
        <w:pStyle w:val="ListParagraph"/>
        <w:numPr>
          <w:ilvl w:val="0"/>
          <w:numId w:val="27"/>
        </w:numPr>
        <w:spacing w:after="0" w:line="300" w:lineRule="atLeast"/>
        <w:rPr>
          <w:rFonts w:ascii="Arial" w:hAnsi="Arial" w:cs="Arial"/>
        </w:rPr>
      </w:pPr>
      <w:r w:rsidRPr="00BA15D0">
        <w:rPr>
          <w:rFonts w:ascii="Arial" w:hAnsi="Arial" w:cs="Arial"/>
        </w:rPr>
        <w:t xml:space="preserve">Barnfield – 3 </w:t>
      </w:r>
    </w:p>
    <w:p w14:paraId="01670656" w14:textId="77777777" w:rsidR="00956D64" w:rsidRPr="00BA15D0" w:rsidRDefault="00956D64" w:rsidP="00E810AA">
      <w:pPr>
        <w:pStyle w:val="ListParagraph"/>
        <w:numPr>
          <w:ilvl w:val="0"/>
          <w:numId w:val="27"/>
        </w:numPr>
        <w:spacing w:after="0" w:line="300" w:lineRule="atLeast"/>
        <w:rPr>
          <w:rFonts w:ascii="Arial" w:hAnsi="Arial" w:cs="Arial"/>
        </w:rPr>
      </w:pPr>
      <w:r w:rsidRPr="00BA15D0">
        <w:rPr>
          <w:rFonts w:ascii="Arial" w:hAnsi="Arial" w:cs="Arial"/>
        </w:rPr>
        <w:t xml:space="preserve">Clayton-le-Moors – 3 </w:t>
      </w:r>
    </w:p>
    <w:p w14:paraId="686AC0AB" w14:textId="77777777" w:rsidR="00956D64" w:rsidRPr="00BA15D0" w:rsidRDefault="00956D64" w:rsidP="00E810AA">
      <w:pPr>
        <w:pStyle w:val="ListParagraph"/>
        <w:numPr>
          <w:ilvl w:val="0"/>
          <w:numId w:val="27"/>
        </w:numPr>
        <w:spacing w:after="0" w:line="300" w:lineRule="atLeast"/>
        <w:rPr>
          <w:rFonts w:ascii="Arial" w:hAnsi="Arial" w:cs="Arial"/>
        </w:rPr>
      </w:pPr>
      <w:r w:rsidRPr="00BA15D0">
        <w:rPr>
          <w:rFonts w:ascii="Arial" w:hAnsi="Arial" w:cs="Arial"/>
        </w:rPr>
        <w:t xml:space="preserve">Peel – 6 </w:t>
      </w:r>
    </w:p>
    <w:p w14:paraId="626E5F80" w14:textId="77777777" w:rsidR="00956D64" w:rsidRPr="00AC1435" w:rsidRDefault="00956D64" w:rsidP="00AC1435">
      <w:pPr>
        <w:spacing w:after="0" w:line="300" w:lineRule="atLeast"/>
        <w:ind w:left="1069"/>
        <w:rPr>
          <w:rFonts w:ascii="Arial" w:hAnsi="Arial" w:cs="Arial"/>
        </w:rPr>
      </w:pPr>
    </w:p>
    <w:p w14:paraId="3F528EB6" w14:textId="77777777" w:rsidR="00433904" w:rsidRPr="00D04D82" w:rsidRDefault="00433904" w:rsidP="00EC52F7">
      <w:pPr>
        <w:spacing w:after="0" w:line="300" w:lineRule="atLeast"/>
        <w:ind w:firstLine="709"/>
        <w:rPr>
          <w:rFonts w:ascii="Arial" w:hAnsi="Arial" w:cs="Arial"/>
          <w:b/>
        </w:rPr>
      </w:pPr>
      <w:r w:rsidRPr="00D04D82">
        <w:rPr>
          <w:rFonts w:ascii="Arial" w:hAnsi="Arial" w:cs="Arial"/>
          <w:b/>
        </w:rPr>
        <w:t xml:space="preserve">Relevance </w:t>
      </w:r>
      <w:r w:rsidR="00875AA4" w:rsidRPr="00D04D82">
        <w:rPr>
          <w:rFonts w:ascii="Arial" w:hAnsi="Arial" w:cs="Arial"/>
          <w:b/>
        </w:rPr>
        <w:t>between</w:t>
      </w:r>
      <w:r w:rsidRPr="00D04D82">
        <w:rPr>
          <w:rFonts w:ascii="Arial" w:hAnsi="Arial" w:cs="Arial"/>
          <w:b/>
        </w:rPr>
        <w:t xml:space="preserve"> Socio-Economic Issues and Supply of HMOs  </w:t>
      </w:r>
    </w:p>
    <w:p w14:paraId="5D39B475" w14:textId="77777777" w:rsidR="00AC1435" w:rsidRPr="00EC52F7" w:rsidRDefault="00AC1435" w:rsidP="00EC52F7">
      <w:pPr>
        <w:spacing w:after="0" w:line="300" w:lineRule="atLeast"/>
        <w:rPr>
          <w:rFonts w:ascii="Arial" w:hAnsi="Arial" w:cs="Arial"/>
          <w:i/>
        </w:rPr>
      </w:pPr>
    </w:p>
    <w:p w14:paraId="09CCCC44" w14:textId="303C4754" w:rsidR="00A710F5" w:rsidRDefault="00FB5B93" w:rsidP="00A80448">
      <w:pPr>
        <w:pStyle w:val="ListParagraph"/>
        <w:numPr>
          <w:ilvl w:val="1"/>
          <w:numId w:val="43"/>
        </w:numPr>
        <w:spacing w:after="0" w:line="300" w:lineRule="atLeast"/>
        <w:ind w:left="709" w:hanging="709"/>
        <w:contextualSpacing w:val="0"/>
        <w:rPr>
          <w:rFonts w:ascii="Arial" w:hAnsi="Arial" w:cs="Arial"/>
        </w:rPr>
      </w:pPr>
      <w:r>
        <w:rPr>
          <w:rFonts w:ascii="Arial" w:hAnsi="Arial" w:cs="Arial"/>
        </w:rPr>
        <w:t>Correlations</w:t>
      </w:r>
      <w:r w:rsidR="006E2DE0" w:rsidRPr="00E810AA">
        <w:rPr>
          <w:rFonts w:ascii="Arial" w:hAnsi="Arial" w:cs="Arial"/>
        </w:rPr>
        <w:t xml:space="preserve"> between the provision of HMOs and s</w:t>
      </w:r>
      <w:r w:rsidR="00B6151D">
        <w:rPr>
          <w:rFonts w:ascii="Arial" w:hAnsi="Arial" w:cs="Arial"/>
        </w:rPr>
        <w:t>ome socio-economic factors can</w:t>
      </w:r>
      <w:r w:rsidR="006E2DE0" w:rsidRPr="00E810AA">
        <w:rPr>
          <w:rFonts w:ascii="Arial" w:hAnsi="Arial" w:cs="Arial"/>
        </w:rPr>
        <w:t xml:space="preserve"> be identified. For example, </w:t>
      </w:r>
      <w:r w:rsidR="009B68A1" w:rsidRPr="00E810AA">
        <w:rPr>
          <w:rFonts w:ascii="Arial" w:hAnsi="Arial" w:cs="Arial"/>
        </w:rPr>
        <w:t xml:space="preserve">it is recognised that higher education institutions and the associated large student population </w:t>
      </w:r>
      <w:r w:rsidR="001602BE" w:rsidRPr="00E810AA">
        <w:rPr>
          <w:rFonts w:ascii="Arial" w:hAnsi="Arial" w:cs="Arial"/>
        </w:rPr>
        <w:t>often trigger</w:t>
      </w:r>
      <w:r w:rsidR="009B68A1" w:rsidRPr="00E810AA">
        <w:rPr>
          <w:rFonts w:ascii="Arial" w:hAnsi="Arial" w:cs="Arial"/>
        </w:rPr>
        <w:t xml:space="preserve"> </w:t>
      </w:r>
      <w:r w:rsidR="00573533">
        <w:rPr>
          <w:rFonts w:ascii="Arial" w:hAnsi="Arial" w:cs="Arial"/>
        </w:rPr>
        <w:t>a</w:t>
      </w:r>
      <w:r w:rsidR="009B68A1" w:rsidRPr="00E810AA">
        <w:rPr>
          <w:rFonts w:ascii="Arial" w:hAnsi="Arial" w:cs="Arial"/>
        </w:rPr>
        <w:t xml:space="preserve"> high concentration of HMOs within </w:t>
      </w:r>
      <w:r w:rsidR="006E2DE0" w:rsidRPr="00E810AA">
        <w:rPr>
          <w:rFonts w:ascii="Arial" w:hAnsi="Arial" w:cs="Arial"/>
        </w:rPr>
        <w:t>university towns and cities</w:t>
      </w:r>
      <w:r w:rsidR="001602BE" w:rsidRPr="00E810AA">
        <w:rPr>
          <w:rFonts w:ascii="Arial" w:hAnsi="Arial" w:cs="Arial"/>
        </w:rPr>
        <w:t xml:space="preserve">. </w:t>
      </w:r>
      <w:r w:rsidR="009B68A1" w:rsidRPr="00E810AA">
        <w:rPr>
          <w:rFonts w:ascii="Arial" w:hAnsi="Arial" w:cs="Arial"/>
        </w:rPr>
        <w:t xml:space="preserve"> </w:t>
      </w:r>
      <w:r w:rsidR="00573533" w:rsidRPr="00E810AA">
        <w:rPr>
          <w:rFonts w:ascii="Arial" w:hAnsi="Arial" w:cs="Arial"/>
        </w:rPr>
        <w:t>To</w:t>
      </w:r>
      <w:r w:rsidR="001602BE" w:rsidRPr="00E810AA">
        <w:rPr>
          <w:rFonts w:ascii="Arial" w:hAnsi="Arial" w:cs="Arial"/>
        </w:rPr>
        <w:t xml:space="preserve"> avoid unsustainable concentration</w:t>
      </w:r>
      <w:r>
        <w:rPr>
          <w:rFonts w:ascii="Arial" w:hAnsi="Arial" w:cs="Arial"/>
        </w:rPr>
        <w:t>s</w:t>
      </w:r>
      <w:r w:rsidR="001602BE" w:rsidRPr="00E810AA">
        <w:rPr>
          <w:rFonts w:ascii="Arial" w:hAnsi="Arial" w:cs="Arial"/>
        </w:rPr>
        <w:t xml:space="preserve"> of such type</w:t>
      </w:r>
      <w:r w:rsidR="00573533">
        <w:rPr>
          <w:rFonts w:ascii="Arial" w:hAnsi="Arial" w:cs="Arial"/>
        </w:rPr>
        <w:t>s</w:t>
      </w:r>
      <w:r w:rsidR="001602BE" w:rsidRPr="00E810AA">
        <w:rPr>
          <w:rFonts w:ascii="Arial" w:hAnsi="Arial" w:cs="Arial"/>
        </w:rPr>
        <w:t xml:space="preserve"> of accommodation, Article 4 Directions have</w:t>
      </w:r>
      <w:r>
        <w:rPr>
          <w:rFonts w:ascii="Arial" w:hAnsi="Arial" w:cs="Arial"/>
        </w:rPr>
        <w:t xml:space="preserve"> been used by</w:t>
      </w:r>
      <w:r w:rsidR="00A710F5" w:rsidRPr="00E810AA">
        <w:rPr>
          <w:rFonts w:ascii="Arial" w:hAnsi="Arial" w:cs="Arial"/>
        </w:rPr>
        <w:t xml:space="preserve"> local planning authorities to control and direct the prov</w:t>
      </w:r>
      <w:r>
        <w:rPr>
          <w:rFonts w:ascii="Arial" w:hAnsi="Arial" w:cs="Arial"/>
        </w:rPr>
        <w:t>ision of new HMOs in their areas</w:t>
      </w:r>
      <w:r w:rsidR="00A710F5" w:rsidRPr="00E810AA">
        <w:rPr>
          <w:rFonts w:ascii="Arial" w:hAnsi="Arial" w:cs="Arial"/>
        </w:rPr>
        <w:t xml:space="preserve">. </w:t>
      </w:r>
      <w:r w:rsidR="001602BE" w:rsidRPr="00E810AA">
        <w:rPr>
          <w:rFonts w:ascii="Arial" w:hAnsi="Arial" w:cs="Arial"/>
        </w:rPr>
        <w:t xml:space="preserve"> </w:t>
      </w:r>
    </w:p>
    <w:p w14:paraId="10C5056D" w14:textId="77777777" w:rsidR="00AC1435" w:rsidRPr="00E810AA" w:rsidRDefault="00AC1435" w:rsidP="00AC1435">
      <w:pPr>
        <w:pStyle w:val="ListParagraph"/>
        <w:spacing w:after="0" w:line="300" w:lineRule="atLeast"/>
        <w:ind w:left="709"/>
        <w:contextualSpacing w:val="0"/>
        <w:rPr>
          <w:rFonts w:ascii="Arial" w:hAnsi="Arial" w:cs="Arial"/>
        </w:rPr>
      </w:pPr>
    </w:p>
    <w:p w14:paraId="716DED54" w14:textId="759282CA" w:rsidR="000B259C" w:rsidRDefault="00B6151D" w:rsidP="00A80448">
      <w:pPr>
        <w:pStyle w:val="ListParagraph"/>
        <w:numPr>
          <w:ilvl w:val="1"/>
          <w:numId w:val="43"/>
        </w:numPr>
        <w:spacing w:after="0" w:line="300" w:lineRule="atLeast"/>
        <w:ind w:left="709" w:hanging="709"/>
        <w:contextualSpacing w:val="0"/>
        <w:rPr>
          <w:rFonts w:ascii="Arial" w:hAnsi="Arial" w:cs="Arial"/>
        </w:rPr>
      </w:pPr>
      <w:r>
        <w:rPr>
          <w:rFonts w:ascii="Arial" w:hAnsi="Arial" w:cs="Arial"/>
        </w:rPr>
        <w:lastRenderedPageBreak/>
        <w:t>Compared to the</w:t>
      </w:r>
      <w:r w:rsidR="00A710F5" w:rsidRPr="00E810AA">
        <w:rPr>
          <w:rFonts w:ascii="Arial" w:hAnsi="Arial" w:cs="Arial"/>
        </w:rPr>
        <w:t xml:space="preserve"> </w:t>
      </w:r>
      <w:r w:rsidR="00EA3D9E" w:rsidRPr="00E810AA">
        <w:rPr>
          <w:rFonts w:ascii="Arial" w:hAnsi="Arial" w:cs="Arial"/>
        </w:rPr>
        <w:t>concentration of student houses (HMOs) in university towns a</w:t>
      </w:r>
      <w:r w:rsidR="008B4CE3" w:rsidRPr="00E810AA">
        <w:rPr>
          <w:rFonts w:ascii="Arial" w:hAnsi="Arial" w:cs="Arial"/>
        </w:rPr>
        <w:t>nd cities</w:t>
      </w:r>
      <w:r w:rsidR="00EA3D9E" w:rsidRPr="00E810AA">
        <w:rPr>
          <w:rFonts w:ascii="Arial" w:hAnsi="Arial" w:cs="Arial"/>
        </w:rPr>
        <w:t>, it is much harder to identify the direct association between other socio-economic factors and the high level of provision</w:t>
      </w:r>
      <w:r w:rsidR="00573533">
        <w:rPr>
          <w:rFonts w:ascii="Arial" w:hAnsi="Arial" w:cs="Arial"/>
        </w:rPr>
        <w:t xml:space="preserve"> of </w:t>
      </w:r>
      <w:r w:rsidR="00EA3D9E" w:rsidRPr="00E810AA">
        <w:rPr>
          <w:rFonts w:ascii="Arial" w:hAnsi="Arial" w:cs="Arial"/>
        </w:rPr>
        <w:t xml:space="preserve">HMOs, and to </w:t>
      </w:r>
      <w:r w:rsidR="00D5613E" w:rsidRPr="00E810AA">
        <w:rPr>
          <w:rFonts w:ascii="Arial" w:hAnsi="Arial" w:cs="Arial"/>
        </w:rPr>
        <w:t>establish the pattern of the areas affected by the high level of supply of the HMOs.</w:t>
      </w:r>
      <w:r>
        <w:rPr>
          <w:rFonts w:ascii="Arial" w:hAnsi="Arial" w:cs="Arial"/>
        </w:rPr>
        <w:t xml:space="preserve"> </w:t>
      </w:r>
      <w:r w:rsidR="00D5613E" w:rsidRPr="00E810AA">
        <w:rPr>
          <w:rFonts w:ascii="Arial" w:hAnsi="Arial" w:cs="Arial"/>
        </w:rPr>
        <w:t xml:space="preserve"> </w:t>
      </w:r>
      <w:r w:rsidR="00A16573" w:rsidRPr="00E810AA">
        <w:rPr>
          <w:rFonts w:ascii="Arial" w:hAnsi="Arial" w:cs="Arial"/>
        </w:rPr>
        <w:t xml:space="preserve">In this instance, the socio-economic issues identified above do not directly explain the high level of </w:t>
      </w:r>
      <w:r w:rsidR="005967FA">
        <w:rPr>
          <w:rFonts w:ascii="Arial" w:hAnsi="Arial" w:cs="Arial"/>
        </w:rPr>
        <w:t>numbers</w:t>
      </w:r>
      <w:r w:rsidR="00A16573" w:rsidRPr="00E810AA">
        <w:rPr>
          <w:rFonts w:ascii="Arial" w:hAnsi="Arial" w:cs="Arial"/>
        </w:rPr>
        <w:t xml:space="preserve"> </w:t>
      </w:r>
      <w:r w:rsidR="00573533">
        <w:rPr>
          <w:rFonts w:ascii="Arial" w:hAnsi="Arial" w:cs="Arial"/>
        </w:rPr>
        <w:t xml:space="preserve">of HMOs </w:t>
      </w:r>
      <w:r w:rsidR="00A16573" w:rsidRPr="00E810AA">
        <w:rPr>
          <w:rFonts w:ascii="Arial" w:hAnsi="Arial" w:cs="Arial"/>
        </w:rPr>
        <w:t>within the Bo</w:t>
      </w:r>
      <w:r w:rsidR="00B21381" w:rsidRPr="00E810AA">
        <w:rPr>
          <w:rFonts w:ascii="Arial" w:hAnsi="Arial" w:cs="Arial"/>
        </w:rPr>
        <w:t>rough, nevertheless, neighbourin</w:t>
      </w:r>
      <w:r w:rsidR="008B4CE3" w:rsidRPr="00E810AA">
        <w:rPr>
          <w:rFonts w:ascii="Arial" w:hAnsi="Arial" w:cs="Arial"/>
        </w:rPr>
        <w:t xml:space="preserve">g local authorities showing </w:t>
      </w:r>
      <w:r w:rsidR="00B21381" w:rsidRPr="00E810AA">
        <w:rPr>
          <w:rFonts w:ascii="Arial" w:hAnsi="Arial" w:cs="Arial"/>
        </w:rPr>
        <w:t>similar socio-economic issues have also experienced the over-concentrati</w:t>
      </w:r>
      <w:r>
        <w:rPr>
          <w:rFonts w:ascii="Arial" w:hAnsi="Arial" w:cs="Arial"/>
        </w:rPr>
        <w:t>on of HMOs, and have introduced</w:t>
      </w:r>
      <w:r w:rsidR="00B21381" w:rsidRPr="00E810AA">
        <w:rPr>
          <w:rFonts w:ascii="Arial" w:hAnsi="Arial" w:cs="Arial"/>
        </w:rPr>
        <w:t xml:space="preserve"> Article 4 Directions a</w:t>
      </w:r>
      <w:r w:rsidR="00605FD6" w:rsidRPr="00E810AA">
        <w:rPr>
          <w:rFonts w:ascii="Arial" w:hAnsi="Arial" w:cs="Arial"/>
        </w:rPr>
        <w:t>s a mechanism to direct and control of the provision of new small HMOs with</w:t>
      </w:r>
      <w:r>
        <w:rPr>
          <w:rFonts w:ascii="Arial" w:hAnsi="Arial" w:cs="Arial"/>
        </w:rPr>
        <w:t>in</w:t>
      </w:r>
      <w:r w:rsidR="00605FD6" w:rsidRPr="00E810AA">
        <w:rPr>
          <w:rFonts w:ascii="Arial" w:hAnsi="Arial" w:cs="Arial"/>
        </w:rPr>
        <w:t xml:space="preserve"> </w:t>
      </w:r>
      <w:r>
        <w:rPr>
          <w:rFonts w:ascii="Arial" w:hAnsi="Arial" w:cs="Arial"/>
        </w:rPr>
        <w:t>their</w:t>
      </w:r>
      <w:r w:rsidR="00605FD6" w:rsidRPr="00E810AA">
        <w:rPr>
          <w:rFonts w:ascii="Arial" w:hAnsi="Arial" w:cs="Arial"/>
        </w:rPr>
        <w:t xml:space="preserve"> areas.</w:t>
      </w:r>
      <w:r w:rsidR="00B21381" w:rsidRPr="00E810AA">
        <w:rPr>
          <w:rFonts w:ascii="Arial" w:hAnsi="Arial" w:cs="Arial"/>
        </w:rPr>
        <w:t xml:space="preserve"> </w:t>
      </w:r>
      <w:r w:rsidR="003F458B" w:rsidRPr="00E810AA">
        <w:rPr>
          <w:rFonts w:ascii="Arial" w:hAnsi="Arial" w:cs="Arial"/>
        </w:rPr>
        <w:t xml:space="preserve"> </w:t>
      </w:r>
    </w:p>
    <w:p w14:paraId="21369B57" w14:textId="77777777" w:rsidR="00AC1435" w:rsidRPr="00E810AA" w:rsidRDefault="00AC1435" w:rsidP="00AC1435">
      <w:pPr>
        <w:pStyle w:val="ListParagraph"/>
        <w:spacing w:after="0" w:line="300" w:lineRule="atLeast"/>
        <w:ind w:left="709"/>
        <w:contextualSpacing w:val="0"/>
        <w:rPr>
          <w:rFonts w:ascii="Arial" w:hAnsi="Arial" w:cs="Arial"/>
        </w:rPr>
      </w:pPr>
    </w:p>
    <w:p w14:paraId="46F21AC4" w14:textId="77777777" w:rsidR="00FE347D" w:rsidRPr="00AC1435" w:rsidRDefault="0092487F" w:rsidP="00E810AA">
      <w:pPr>
        <w:pStyle w:val="ListParagraph"/>
        <w:spacing w:after="0" w:line="300" w:lineRule="atLeast"/>
        <w:ind w:left="709"/>
        <w:contextualSpacing w:val="0"/>
        <w:rPr>
          <w:rFonts w:ascii="Arial" w:hAnsi="Arial" w:cs="Arial"/>
          <w:b/>
        </w:rPr>
      </w:pPr>
      <w:r w:rsidRPr="00AC1435">
        <w:rPr>
          <w:rFonts w:ascii="Arial" w:hAnsi="Arial" w:cs="Arial"/>
          <w:b/>
        </w:rPr>
        <w:t>Impact of HMOs in Hyndburn</w:t>
      </w:r>
    </w:p>
    <w:p w14:paraId="50F9B9F4" w14:textId="77777777" w:rsidR="00AC1435" w:rsidRPr="00E810AA" w:rsidRDefault="00AC1435" w:rsidP="00E810AA">
      <w:pPr>
        <w:pStyle w:val="ListParagraph"/>
        <w:spacing w:after="0" w:line="300" w:lineRule="atLeast"/>
        <w:ind w:left="709"/>
        <w:contextualSpacing w:val="0"/>
        <w:rPr>
          <w:rFonts w:ascii="Arial" w:hAnsi="Arial" w:cs="Arial"/>
          <w:u w:val="single"/>
        </w:rPr>
      </w:pPr>
    </w:p>
    <w:p w14:paraId="175F9CEF" w14:textId="254E4247" w:rsidR="00307DFC" w:rsidRPr="00304648" w:rsidRDefault="00307DFC"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Sustaina</w:t>
      </w:r>
      <w:r w:rsidR="00B6151D">
        <w:rPr>
          <w:rFonts w:ascii="Arial" w:hAnsi="Arial" w:cs="Arial"/>
        </w:rPr>
        <w:t>ble and healthy communities have</w:t>
      </w:r>
      <w:r w:rsidRPr="00E810AA">
        <w:rPr>
          <w:rFonts w:ascii="Arial" w:hAnsi="Arial" w:cs="Arial"/>
        </w:rPr>
        <w:t xml:space="preserve"> well-balanced housing market</w:t>
      </w:r>
      <w:r w:rsidR="00B6151D">
        <w:rPr>
          <w:rFonts w:ascii="Arial" w:hAnsi="Arial" w:cs="Arial"/>
        </w:rPr>
        <w:t>s</w:t>
      </w:r>
      <w:r w:rsidRPr="00E810AA">
        <w:rPr>
          <w:rFonts w:ascii="Arial" w:hAnsi="Arial" w:cs="Arial"/>
        </w:rPr>
        <w:t xml:space="preserve"> characterised by a mix of homes that are privately owned, rented through social landlords, privately rented and other forms of housing such as </w:t>
      </w:r>
      <w:r w:rsidR="00971014">
        <w:rPr>
          <w:rFonts w:ascii="Arial" w:hAnsi="Arial" w:cs="Arial"/>
        </w:rPr>
        <w:t>HMOs</w:t>
      </w:r>
      <w:r w:rsidRPr="00E810AA">
        <w:rPr>
          <w:rFonts w:ascii="Arial" w:hAnsi="Arial" w:cs="Arial"/>
        </w:rPr>
        <w:t xml:space="preserve">. </w:t>
      </w:r>
      <w:r w:rsidR="00AC1435">
        <w:rPr>
          <w:rFonts w:ascii="Arial" w:hAnsi="Arial" w:cs="Arial"/>
        </w:rPr>
        <w:t xml:space="preserve"> </w:t>
      </w:r>
      <w:r w:rsidR="00852BD6">
        <w:rPr>
          <w:rFonts w:ascii="Arial" w:hAnsi="Arial" w:cs="Arial"/>
        </w:rPr>
        <w:t xml:space="preserve">The housing market should be able to cater for all types of residential </w:t>
      </w:r>
      <w:r w:rsidR="00852BD6" w:rsidRPr="00852BD6">
        <w:rPr>
          <w:rFonts w:ascii="Arial" w:hAnsi="Arial" w:cs="Arial"/>
        </w:rPr>
        <w:t xml:space="preserve">needs.  </w:t>
      </w:r>
      <w:r w:rsidR="00B6151D" w:rsidRPr="00852BD6">
        <w:rPr>
          <w:rFonts w:ascii="Arial" w:hAnsi="Arial" w:cs="Arial"/>
        </w:rPr>
        <w:t>Hyndburn has</w:t>
      </w:r>
      <w:r w:rsidR="00573533" w:rsidRPr="00852BD6">
        <w:rPr>
          <w:rFonts w:ascii="Arial" w:hAnsi="Arial" w:cs="Arial"/>
        </w:rPr>
        <w:t xml:space="preserve"> a level of housing market failure,</w:t>
      </w:r>
      <w:r w:rsidRPr="00852BD6">
        <w:rPr>
          <w:rFonts w:ascii="Arial" w:hAnsi="Arial" w:cs="Arial"/>
        </w:rPr>
        <w:t xml:space="preserve"> that has stemmed from having large area</w:t>
      </w:r>
      <w:r w:rsidR="00B6151D" w:rsidRPr="00852BD6">
        <w:rPr>
          <w:rFonts w:ascii="Arial" w:hAnsi="Arial" w:cs="Arial"/>
        </w:rPr>
        <w:t>s/numbers of low value,</w:t>
      </w:r>
      <w:r w:rsidRPr="00852BD6">
        <w:rPr>
          <w:rFonts w:ascii="Arial" w:hAnsi="Arial" w:cs="Arial"/>
        </w:rPr>
        <w:t xml:space="preserve"> poor quality </w:t>
      </w:r>
      <w:r w:rsidR="00B6151D" w:rsidRPr="00852BD6">
        <w:rPr>
          <w:rFonts w:ascii="Arial" w:hAnsi="Arial" w:cs="Arial"/>
        </w:rPr>
        <w:t xml:space="preserve">and old </w:t>
      </w:r>
      <w:r w:rsidRPr="00852BD6">
        <w:rPr>
          <w:rFonts w:ascii="Arial" w:hAnsi="Arial" w:cs="Arial"/>
        </w:rPr>
        <w:t xml:space="preserve">terraced houses </w:t>
      </w:r>
      <w:r w:rsidR="00B6151D" w:rsidRPr="00852BD6">
        <w:rPr>
          <w:rFonts w:ascii="Arial" w:hAnsi="Arial" w:cs="Arial"/>
        </w:rPr>
        <w:t>for which there has been a</w:t>
      </w:r>
      <w:r w:rsidRPr="00852BD6">
        <w:rPr>
          <w:rFonts w:ascii="Arial" w:hAnsi="Arial" w:cs="Arial"/>
        </w:rPr>
        <w:t xml:space="preserve"> low level of demand. </w:t>
      </w:r>
      <w:r w:rsidR="00AC1435" w:rsidRPr="00852BD6">
        <w:rPr>
          <w:rFonts w:ascii="Arial" w:hAnsi="Arial" w:cs="Arial"/>
        </w:rPr>
        <w:t xml:space="preserve"> </w:t>
      </w:r>
      <w:r w:rsidRPr="00852BD6">
        <w:rPr>
          <w:rFonts w:ascii="Arial" w:hAnsi="Arial" w:cs="Arial"/>
        </w:rPr>
        <w:t xml:space="preserve">This </w:t>
      </w:r>
      <w:r w:rsidR="00B6151D" w:rsidRPr="00852BD6">
        <w:rPr>
          <w:rFonts w:ascii="Arial" w:hAnsi="Arial" w:cs="Arial"/>
        </w:rPr>
        <w:t xml:space="preserve">has </w:t>
      </w:r>
      <w:r w:rsidRPr="00852BD6">
        <w:rPr>
          <w:rFonts w:ascii="Arial" w:hAnsi="Arial" w:cs="Arial"/>
        </w:rPr>
        <w:t xml:space="preserve">served to suppress property prices, making them some of the lowest prices houses in England, and </w:t>
      </w:r>
      <w:r w:rsidR="00B6151D" w:rsidRPr="00852BD6">
        <w:rPr>
          <w:rFonts w:ascii="Arial" w:hAnsi="Arial" w:cs="Arial"/>
        </w:rPr>
        <w:t xml:space="preserve">(until recently) </w:t>
      </w:r>
      <w:r w:rsidRPr="00304648">
        <w:rPr>
          <w:rFonts w:ascii="Arial" w:hAnsi="Arial" w:cs="Arial"/>
        </w:rPr>
        <w:t xml:space="preserve">resulted in a </w:t>
      </w:r>
      <w:r w:rsidR="00573533" w:rsidRPr="00304648">
        <w:rPr>
          <w:rFonts w:ascii="Arial" w:hAnsi="Arial" w:cs="Arial"/>
        </w:rPr>
        <w:t>higher-than-average</w:t>
      </w:r>
      <w:r w:rsidRPr="00304648">
        <w:rPr>
          <w:rFonts w:ascii="Arial" w:hAnsi="Arial" w:cs="Arial"/>
        </w:rPr>
        <w:t xml:space="preserve"> property vacancy level. </w:t>
      </w:r>
    </w:p>
    <w:p w14:paraId="4A1447C1" w14:textId="625996CF" w:rsidR="00AC1435" w:rsidRPr="00304648" w:rsidRDefault="00AC1435" w:rsidP="00AC1435">
      <w:pPr>
        <w:pStyle w:val="ListParagraph"/>
        <w:spacing w:after="0" w:line="300" w:lineRule="atLeast"/>
        <w:ind w:left="709"/>
        <w:contextualSpacing w:val="0"/>
        <w:rPr>
          <w:rFonts w:ascii="Arial" w:hAnsi="Arial" w:cs="Arial"/>
        </w:rPr>
      </w:pPr>
    </w:p>
    <w:p w14:paraId="0711832B" w14:textId="0F483BB7" w:rsidR="00307DFC" w:rsidRPr="00304648" w:rsidRDefault="00307DFC" w:rsidP="00A80448">
      <w:pPr>
        <w:pStyle w:val="ListParagraph"/>
        <w:numPr>
          <w:ilvl w:val="1"/>
          <w:numId w:val="43"/>
        </w:numPr>
        <w:spacing w:after="0" w:line="300" w:lineRule="atLeast"/>
        <w:ind w:left="709" w:hanging="710"/>
        <w:contextualSpacing w:val="0"/>
        <w:rPr>
          <w:rFonts w:ascii="Arial" w:hAnsi="Arial" w:cs="Arial"/>
        </w:rPr>
      </w:pPr>
      <w:r w:rsidRPr="00304648">
        <w:rPr>
          <w:rFonts w:ascii="Arial" w:hAnsi="Arial" w:cs="Arial"/>
        </w:rPr>
        <w:t>As discussed in paragraph</w:t>
      </w:r>
      <w:r w:rsidR="00573533" w:rsidRPr="00304648">
        <w:rPr>
          <w:rFonts w:ascii="Arial" w:hAnsi="Arial" w:cs="Arial"/>
        </w:rPr>
        <w:t>s</w:t>
      </w:r>
      <w:r w:rsidRPr="00304648">
        <w:rPr>
          <w:rFonts w:ascii="Arial" w:hAnsi="Arial" w:cs="Arial"/>
        </w:rPr>
        <w:t xml:space="preserve"> 6.4 and 6.5</w:t>
      </w:r>
      <w:r w:rsidR="00B6151D" w:rsidRPr="00304648">
        <w:rPr>
          <w:rFonts w:ascii="Arial" w:hAnsi="Arial" w:cs="Arial"/>
        </w:rPr>
        <w:t xml:space="preserve"> above</w:t>
      </w:r>
      <w:r w:rsidRPr="00304648">
        <w:rPr>
          <w:rFonts w:ascii="Arial" w:hAnsi="Arial" w:cs="Arial"/>
        </w:rPr>
        <w:t>, despite Hyndbu</w:t>
      </w:r>
      <w:r w:rsidR="00B6151D" w:rsidRPr="00304648">
        <w:rPr>
          <w:rFonts w:ascii="Arial" w:hAnsi="Arial" w:cs="Arial"/>
        </w:rPr>
        <w:t>rn having a much lower</w:t>
      </w:r>
      <w:r w:rsidRPr="00304648">
        <w:rPr>
          <w:rFonts w:ascii="Arial" w:hAnsi="Arial" w:cs="Arial"/>
        </w:rPr>
        <w:t xml:space="preserve"> population than the neighbouring authority areas such as B</w:t>
      </w:r>
      <w:r w:rsidR="00B6151D" w:rsidRPr="00304648">
        <w:rPr>
          <w:rFonts w:ascii="Arial" w:hAnsi="Arial" w:cs="Arial"/>
        </w:rPr>
        <w:t xml:space="preserve">lackburn </w:t>
      </w:r>
      <w:r w:rsidRPr="00304648">
        <w:rPr>
          <w:rFonts w:ascii="Arial" w:hAnsi="Arial" w:cs="Arial"/>
        </w:rPr>
        <w:t>w</w:t>
      </w:r>
      <w:r w:rsidR="00B6151D" w:rsidRPr="00304648">
        <w:rPr>
          <w:rFonts w:ascii="Arial" w:hAnsi="Arial" w:cs="Arial"/>
        </w:rPr>
        <w:t xml:space="preserve">ith </w:t>
      </w:r>
      <w:r w:rsidRPr="00304648">
        <w:rPr>
          <w:rFonts w:ascii="Arial" w:hAnsi="Arial" w:cs="Arial"/>
        </w:rPr>
        <w:t>D</w:t>
      </w:r>
      <w:r w:rsidR="00B6151D" w:rsidRPr="00304648">
        <w:rPr>
          <w:rFonts w:ascii="Arial" w:hAnsi="Arial" w:cs="Arial"/>
        </w:rPr>
        <w:t>arwen</w:t>
      </w:r>
      <w:r w:rsidRPr="00304648">
        <w:rPr>
          <w:rFonts w:ascii="Arial" w:hAnsi="Arial" w:cs="Arial"/>
        </w:rPr>
        <w:t xml:space="preserve"> and Burnley, there are approximately </w:t>
      </w:r>
      <w:r w:rsidR="001500BD" w:rsidRPr="00304648">
        <w:rPr>
          <w:rFonts w:ascii="Arial" w:hAnsi="Arial" w:cs="Arial"/>
        </w:rPr>
        <w:t>50</w:t>
      </w:r>
      <w:r w:rsidR="00852BD6" w:rsidRPr="00304648">
        <w:rPr>
          <w:rFonts w:ascii="Arial" w:hAnsi="Arial" w:cs="Arial"/>
        </w:rPr>
        <w:t>2</w:t>
      </w:r>
      <w:r w:rsidRPr="00304648">
        <w:rPr>
          <w:rFonts w:ascii="Arial" w:hAnsi="Arial" w:cs="Arial"/>
        </w:rPr>
        <w:t xml:space="preserve"> HMOs known to the Council</w:t>
      </w:r>
      <w:r w:rsidR="00852BD6" w:rsidRPr="00304648">
        <w:rPr>
          <w:rFonts w:ascii="Arial" w:hAnsi="Arial" w:cs="Arial"/>
        </w:rPr>
        <w:t>.</w:t>
      </w:r>
    </w:p>
    <w:p w14:paraId="45E1CA1C" w14:textId="77777777" w:rsidR="00AC1435" w:rsidRPr="00304648" w:rsidRDefault="00AC1435" w:rsidP="00AC1435">
      <w:pPr>
        <w:pStyle w:val="ListParagraph"/>
        <w:spacing w:after="0" w:line="300" w:lineRule="atLeast"/>
        <w:ind w:left="709"/>
        <w:contextualSpacing w:val="0"/>
        <w:rPr>
          <w:rFonts w:ascii="Arial" w:hAnsi="Arial" w:cs="Arial"/>
        </w:rPr>
      </w:pPr>
    </w:p>
    <w:p w14:paraId="02136493" w14:textId="07A50601" w:rsidR="00307DFC" w:rsidRDefault="00B6151D" w:rsidP="00A80448">
      <w:pPr>
        <w:pStyle w:val="ListParagraph"/>
        <w:numPr>
          <w:ilvl w:val="1"/>
          <w:numId w:val="43"/>
        </w:numPr>
        <w:spacing w:after="0" w:line="300" w:lineRule="atLeast"/>
        <w:ind w:left="709" w:hanging="710"/>
        <w:contextualSpacing w:val="0"/>
        <w:rPr>
          <w:rFonts w:ascii="Arial" w:hAnsi="Arial" w:cs="Arial"/>
        </w:rPr>
      </w:pPr>
      <w:r w:rsidRPr="00304648">
        <w:rPr>
          <w:rFonts w:ascii="Arial" w:hAnsi="Arial" w:cs="Arial"/>
        </w:rPr>
        <w:t>It is also noted that due to</w:t>
      </w:r>
      <w:r w:rsidR="002958E1" w:rsidRPr="00304648">
        <w:rPr>
          <w:rFonts w:ascii="Arial" w:hAnsi="Arial" w:cs="Arial"/>
        </w:rPr>
        <w:t xml:space="preserve"> </w:t>
      </w:r>
      <w:r w:rsidR="00573533" w:rsidRPr="00304648">
        <w:rPr>
          <w:rFonts w:ascii="Arial" w:hAnsi="Arial" w:cs="Arial"/>
        </w:rPr>
        <w:t xml:space="preserve">the </w:t>
      </w:r>
      <w:r w:rsidR="002958E1" w:rsidRPr="00304648">
        <w:rPr>
          <w:rFonts w:ascii="Arial" w:hAnsi="Arial" w:cs="Arial"/>
        </w:rPr>
        <w:t>low property</w:t>
      </w:r>
      <w:r w:rsidR="002958E1" w:rsidRPr="00E810AA">
        <w:rPr>
          <w:rFonts w:ascii="Arial" w:hAnsi="Arial" w:cs="Arial"/>
        </w:rPr>
        <w:t xml:space="preserve"> price</w:t>
      </w:r>
      <w:r>
        <w:rPr>
          <w:rFonts w:ascii="Arial" w:hAnsi="Arial" w:cs="Arial"/>
        </w:rPr>
        <w:t>s</w:t>
      </w:r>
      <w:r w:rsidR="002958E1" w:rsidRPr="00E810AA">
        <w:rPr>
          <w:rFonts w:ascii="Arial" w:hAnsi="Arial" w:cs="Arial"/>
        </w:rPr>
        <w:t>, t</w:t>
      </w:r>
      <w:r w:rsidR="00307DFC" w:rsidRPr="00E810AA">
        <w:rPr>
          <w:rFonts w:ascii="Arial" w:hAnsi="Arial" w:cs="Arial"/>
        </w:rPr>
        <w:t>he upfront cost associated with buying or renting a property in</w:t>
      </w:r>
      <w:r>
        <w:rPr>
          <w:rFonts w:ascii="Arial" w:hAnsi="Arial" w:cs="Arial"/>
        </w:rPr>
        <w:t xml:space="preserve"> Hyndburn are significantly lower for investors</w:t>
      </w:r>
      <w:r w:rsidR="00307DFC" w:rsidRPr="00E810AA">
        <w:rPr>
          <w:rFonts w:ascii="Arial" w:hAnsi="Arial" w:cs="Arial"/>
        </w:rPr>
        <w:t xml:space="preserve"> than most other areas of England. </w:t>
      </w:r>
      <w:r w:rsidR="002958E1" w:rsidRPr="00E810AA">
        <w:rPr>
          <w:rFonts w:ascii="Arial" w:hAnsi="Arial" w:cs="Arial"/>
        </w:rPr>
        <w:t>Although</w:t>
      </w:r>
      <w:r w:rsidR="00307DFC" w:rsidRPr="00E810AA">
        <w:rPr>
          <w:rFonts w:ascii="Arial" w:hAnsi="Arial" w:cs="Arial"/>
        </w:rPr>
        <w:t xml:space="preserve"> having a </w:t>
      </w:r>
      <w:r w:rsidR="00573533" w:rsidRPr="00E810AA">
        <w:rPr>
          <w:rFonts w:ascii="Arial" w:hAnsi="Arial" w:cs="Arial"/>
        </w:rPr>
        <w:t>low-cost</w:t>
      </w:r>
      <w:r w:rsidR="00307DFC" w:rsidRPr="00E810AA">
        <w:rPr>
          <w:rFonts w:ascii="Arial" w:hAnsi="Arial" w:cs="Arial"/>
        </w:rPr>
        <w:t xml:space="preserve"> housing market </w:t>
      </w:r>
      <w:r w:rsidR="00573533">
        <w:rPr>
          <w:rFonts w:ascii="Arial" w:hAnsi="Arial" w:cs="Arial"/>
        </w:rPr>
        <w:t xml:space="preserve">does have </w:t>
      </w:r>
      <w:r w:rsidR="002958E1" w:rsidRPr="00E810AA">
        <w:rPr>
          <w:rFonts w:ascii="Arial" w:hAnsi="Arial" w:cs="Arial"/>
        </w:rPr>
        <w:t xml:space="preserve">benefits in terms of providing affordable family houses and rental properties, </w:t>
      </w:r>
      <w:r w:rsidR="00573533">
        <w:rPr>
          <w:rFonts w:ascii="Arial" w:hAnsi="Arial" w:cs="Arial"/>
        </w:rPr>
        <w:t>especially as Hyndburn is also a low wage employment economy</w:t>
      </w:r>
      <w:r w:rsidR="00971014">
        <w:rPr>
          <w:rFonts w:ascii="Arial" w:hAnsi="Arial" w:cs="Arial"/>
        </w:rPr>
        <w:t>, t</w:t>
      </w:r>
      <w:r w:rsidR="002958E1" w:rsidRPr="00E810AA">
        <w:rPr>
          <w:rFonts w:ascii="Arial" w:hAnsi="Arial" w:cs="Arial"/>
        </w:rPr>
        <w:t xml:space="preserve">he </w:t>
      </w:r>
      <w:r w:rsidR="00573533" w:rsidRPr="00E810AA">
        <w:rPr>
          <w:rFonts w:ascii="Arial" w:hAnsi="Arial" w:cs="Arial"/>
        </w:rPr>
        <w:t>low-cost</w:t>
      </w:r>
      <w:r w:rsidR="002958E1" w:rsidRPr="00E810AA">
        <w:rPr>
          <w:rFonts w:ascii="Arial" w:hAnsi="Arial" w:cs="Arial"/>
        </w:rPr>
        <w:t xml:space="preserve"> housing market in Hyndburn </w:t>
      </w:r>
      <w:r w:rsidR="00307DFC" w:rsidRPr="00E810AA">
        <w:rPr>
          <w:rFonts w:ascii="Arial" w:hAnsi="Arial" w:cs="Arial"/>
        </w:rPr>
        <w:t xml:space="preserve">has made the </w:t>
      </w:r>
      <w:r w:rsidR="002958E1" w:rsidRPr="00E810AA">
        <w:rPr>
          <w:rFonts w:ascii="Arial" w:hAnsi="Arial" w:cs="Arial"/>
        </w:rPr>
        <w:t>Borough</w:t>
      </w:r>
      <w:r w:rsidR="00307DFC" w:rsidRPr="00E810AA">
        <w:rPr>
          <w:rFonts w:ascii="Arial" w:hAnsi="Arial" w:cs="Arial"/>
        </w:rPr>
        <w:t xml:space="preserve"> attractive to </w:t>
      </w:r>
      <w:r w:rsidR="002958E1" w:rsidRPr="00E810AA">
        <w:rPr>
          <w:rFonts w:ascii="Arial" w:hAnsi="Arial" w:cs="Arial"/>
        </w:rPr>
        <w:t>the private landlord</w:t>
      </w:r>
      <w:r w:rsidR="00B31B4F" w:rsidRPr="00E810AA">
        <w:rPr>
          <w:rFonts w:ascii="Arial" w:hAnsi="Arial" w:cs="Arial"/>
        </w:rPr>
        <w:t>s/investors</w:t>
      </w:r>
      <w:r w:rsidR="002958E1" w:rsidRPr="00E810AA">
        <w:rPr>
          <w:rFonts w:ascii="Arial" w:hAnsi="Arial" w:cs="Arial"/>
        </w:rPr>
        <w:t xml:space="preserve"> to acquire properties with low prices to convert them to HMOs to</w:t>
      </w:r>
      <w:r w:rsidR="00307DFC" w:rsidRPr="00E810AA">
        <w:rPr>
          <w:rFonts w:ascii="Arial" w:hAnsi="Arial" w:cs="Arial"/>
        </w:rPr>
        <w:t xml:space="preserve"> let </w:t>
      </w:r>
      <w:r w:rsidR="002958E1" w:rsidRPr="00E810AA">
        <w:rPr>
          <w:rFonts w:ascii="Arial" w:hAnsi="Arial" w:cs="Arial"/>
        </w:rPr>
        <w:t>the bed spaces on the private renting market</w:t>
      </w:r>
      <w:r w:rsidR="00971014">
        <w:rPr>
          <w:rFonts w:ascii="Arial" w:hAnsi="Arial" w:cs="Arial"/>
        </w:rPr>
        <w:t xml:space="preserve"> </w:t>
      </w:r>
      <w:r w:rsidR="002958E1" w:rsidRPr="00E810AA">
        <w:rPr>
          <w:rFonts w:ascii="Arial" w:hAnsi="Arial" w:cs="Arial"/>
        </w:rPr>
        <w:t xml:space="preserve">or to contract with government partnerships to provide accommodations for </w:t>
      </w:r>
      <w:r w:rsidR="00307DFC" w:rsidRPr="00E810AA">
        <w:rPr>
          <w:rFonts w:ascii="Arial" w:hAnsi="Arial" w:cs="Arial"/>
        </w:rPr>
        <w:t>asylum seekers, homeless and ex-offenders, people with partic</w:t>
      </w:r>
      <w:r w:rsidR="002958E1" w:rsidRPr="00E810AA">
        <w:rPr>
          <w:rFonts w:ascii="Arial" w:hAnsi="Arial" w:cs="Arial"/>
        </w:rPr>
        <w:t xml:space="preserve">ular care needs, etc. </w:t>
      </w:r>
      <w:r w:rsidR="00307DFC" w:rsidRPr="00E810AA">
        <w:rPr>
          <w:rFonts w:ascii="Arial" w:hAnsi="Arial" w:cs="Arial"/>
        </w:rPr>
        <w:t xml:space="preserve"> </w:t>
      </w:r>
    </w:p>
    <w:p w14:paraId="3F6A571D" w14:textId="77777777" w:rsidR="00AC1435" w:rsidRPr="00971014" w:rsidRDefault="00AC1435" w:rsidP="00971014">
      <w:pPr>
        <w:spacing w:after="0" w:line="300" w:lineRule="atLeast"/>
        <w:rPr>
          <w:rFonts w:ascii="Arial" w:hAnsi="Arial" w:cs="Arial"/>
        </w:rPr>
      </w:pPr>
    </w:p>
    <w:p w14:paraId="6D9CCBF3" w14:textId="77D9C75E" w:rsidR="004168B0" w:rsidRDefault="00B31B4F"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The potential impacts of HMOs on local amenities and balanced communities have been studied extensively by local planning authorities, government departments, scholars, charitable organisations, and NGOs. Of cour</w:t>
      </w:r>
      <w:r w:rsidR="00DA6810" w:rsidRPr="00E810AA">
        <w:rPr>
          <w:rFonts w:ascii="Arial" w:hAnsi="Arial" w:cs="Arial"/>
        </w:rPr>
        <w:t>se, each region and local authority area has its unique set of context, demographic profile, and social-economic issues, which means that the impact of HMOs on the local communities</w:t>
      </w:r>
      <w:r w:rsidR="004168B0" w:rsidRPr="00E810AA">
        <w:rPr>
          <w:rFonts w:ascii="Arial" w:hAnsi="Arial" w:cs="Arial"/>
        </w:rPr>
        <w:t xml:space="preserve"> of each local authority area</w:t>
      </w:r>
      <w:r w:rsidR="00971014">
        <w:rPr>
          <w:rFonts w:ascii="Arial" w:hAnsi="Arial" w:cs="Arial"/>
        </w:rPr>
        <w:t xml:space="preserve"> </w:t>
      </w:r>
      <w:r w:rsidR="00DA6810" w:rsidRPr="00E810AA">
        <w:rPr>
          <w:rFonts w:ascii="Arial" w:hAnsi="Arial" w:cs="Arial"/>
        </w:rPr>
        <w:t xml:space="preserve">could be </w:t>
      </w:r>
      <w:r w:rsidR="004168B0" w:rsidRPr="00E810AA">
        <w:rPr>
          <w:rFonts w:ascii="Arial" w:hAnsi="Arial" w:cs="Arial"/>
        </w:rPr>
        <w:t xml:space="preserve">very different. The issues that </w:t>
      </w:r>
      <w:r w:rsidR="00971014">
        <w:rPr>
          <w:rFonts w:ascii="Arial" w:hAnsi="Arial" w:cs="Arial"/>
        </w:rPr>
        <w:t xml:space="preserve">are </w:t>
      </w:r>
      <w:r w:rsidR="004168B0" w:rsidRPr="00E810AA">
        <w:rPr>
          <w:rFonts w:ascii="Arial" w:hAnsi="Arial" w:cs="Arial"/>
        </w:rPr>
        <w:t>particular</w:t>
      </w:r>
      <w:r w:rsidR="00971014">
        <w:rPr>
          <w:rFonts w:ascii="Arial" w:hAnsi="Arial" w:cs="Arial"/>
        </w:rPr>
        <w:t>ly</w:t>
      </w:r>
      <w:r w:rsidR="004168B0" w:rsidRPr="00E810AA">
        <w:rPr>
          <w:rFonts w:ascii="Arial" w:hAnsi="Arial" w:cs="Arial"/>
        </w:rPr>
        <w:t xml:space="preserve"> associated with Hyndburn have been discu</w:t>
      </w:r>
      <w:r w:rsidR="004A0046" w:rsidRPr="00E810AA">
        <w:rPr>
          <w:rFonts w:ascii="Arial" w:hAnsi="Arial" w:cs="Arial"/>
        </w:rPr>
        <w:t>ssed extensively in this document.</w:t>
      </w:r>
      <w:r w:rsidR="00B6151D">
        <w:rPr>
          <w:rFonts w:ascii="Arial" w:hAnsi="Arial" w:cs="Arial"/>
        </w:rPr>
        <w:t xml:space="preserve"> </w:t>
      </w:r>
      <w:r w:rsidR="004A0046" w:rsidRPr="00E810AA">
        <w:rPr>
          <w:rFonts w:ascii="Arial" w:hAnsi="Arial" w:cs="Arial"/>
        </w:rPr>
        <w:t xml:space="preserve"> </w:t>
      </w:r>
      <w:r w:rsidR="0015244C" w:rsidRPr="00E810AA">
        <w:rPr>
          <w:rFonts w:ascii="Arial" w:hAnsi="Arial" w:cs="Arial"/>
        </w:rPr>
        <w:t xml:space="preserve">In light of those findings, it is considered that </w:t>
      </w:r>
      <w:r w:rsidR="00971014">
        <w:rPr>
          <w:rFonts w:ascii="Arial" w:hAnsi="Arial" w:cs="Arial"/>
        </w:rPr>
        <w:t xml:space="preserve">the </w:t>
      </w:r>
      <w:r w:rsidR="0015244C" w:rsidRPr="00E810AA">
        <w:rPr>
          <w:rFonts w:ascii="Arial" w:hAnsi="Arial" w:cs="Arial"/>
        </w:rPr>
        <w:t xml:space="preserve">high concentration of HMOs in </w:t>
      </w:r>
      <w:r w:rsidR="00B6151D">
        <w:rPr>
          <w:rFonts w:ascii="Arial" w:hAnsi="Arial" w:cs="Arial"/>
        </w:rPr>
        <w:t>the communities of Hyndburn has</w:t>
      </w:r>
      <w:r w:rsidR="0015244C" w:rsidRPr="00E810AA">
        <w:rPr>
          <w:rFonts w:ascii="Arial" w:hAnsi="Arial" w:cs="Arial"/>
        </w:rPr>
        <w:t xml:space="preserve"> a wide range of impacts, which are disc</w:t>
      </w:r>
      <w:r w:rsidR="00B6151D">
        <w:rPr>
          <w:rFonts w:ascii="Arial" w:hAnsi="Arial" w:cs="Arial"/>
        </w:rPr>
        <w:t>ussed below</w:t>
      </w:r>
      <w:r w:rsidR="0015244C" w:rsidRPr="00E810AA">
        <w:rPr>
          <w:rFonts w:ascii="Arial" w:hAnsi="Arial" w:cs="Arial"/>
        </w:rPr>
        <w:t xml:space="preserve">. </w:t>
      </w:r>
    </w:p>
    <w:p w14:paraId="33491001" w14:textId="77777777" w:rsidR="00AC1435" w:rsidRPr="00E810AA" w:rsidRDefault="00AC1435" w:rsidP="00AC1435">
      <w:pPr>
        <w:pStyle w:val="ListParagraph"/>
        <w:spacing w:after="0" w:line="300" w:lineRule="atLeast"/>
        <w:ind w:left="709"/>
        <w:contextualSpacing w:val="0"/>
        <w:rPr>
          <w:rFonts w:ascii="Arial" w:hAnsi="Arial" w:cs="Arial"/>
        </w:rPr>
      </w:pPr>
    </w:p>
    <w:p w14:paraId="14F7D167" w14:textId="77777777" w:rsidR="00571EC2" w:rsidRPr="00D04D82" w:rsidRDefault="004770FF" w:rsidP="00D04D82">
      <w:pPr>
        <w:spacing w:after="0" w:line="300" w:lineRule="atLeast"/>
        <w:ind w:firstLine="709"/>
        <w:rPr>
          <w:rFonts w:ascii="Arial" w:hAnsi="Arial" w:cs="Arial"/>
          <w:b/>
        </w:rPr>
      </w:pPr>
      <w:r w:rsidRPr="00D04D82">
        <w:rPr>
          <w:rFonts w:ascii="Arial" w:hAnsi="Arial" w:cs="Arial"/>
          <w:b/>
        </w:rPr>
        <w:t xml:space="preserve">Reduction in the Number of Vacant Properties </w:t>
      </w:r>
    </w:p>
    <w:p w14:paraId="02292A7F" w14:textId="77777777" w:rsidR="00AC1435" w:rsidRPr="00E810AA" w:rsidRDefault="00AC1435" w:rsidP="00AC1435">
      <w:pPr>
        <w:pStyle w:val="ListParagraph"/>
        <w:spacing w:after="0" w:line="300" w:lineRule="atLeast"/>
        <w:ind w:left="1134"/>
        <w:contextualSpacing w:val="0"/>
        <w:rPr>
          <w:rFonts w:ascii="Arial" w:hAnsi="Arial" w:cs="Arial"/>
        </w:rPr>
      </w:pPr>
    </w:p>
    <w:p w14:paraId="005007F5" w14:textId="77777777" w:rsidR="002958E1" w:rsidRDefault="002958E1"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 xml:space="preserve">One of the key signs of housing market failure </w:t>
      </w:r>
      <w:r w:rsidR="00606EE3" w:rsidRPr="00E810AA">
        <w:rPr>
          <w:rFonts w:ascii="Arial" w:hAnsi="Arial" w:cs="Arial"/>
        </w:rPr>
        <w:t>is</w:t>
      </w:r>
      <w:r w:rsidRPr="00E810AA">
        <w:rPr>
          <w:rFonts w:ascii="Arial" w:hAnsi="Arial" w:cs="Arial"/>
        </w:rPr>
        <w:t xml:space="preserve"> a much higher than average number of vacant properties. Since 2010, Hyndburn has witnessed a steady reduction in the number of vacant properties, a reduction that would have been driven by a steady increase in demand for properties in the Borough coupled with relaxation of permitted development rights, including those associated with HMOs. </w:t>
      </w:r>
      <w:r w:rsidR="00B6151D">
        <w:rPr>
          <w:rFonts w:ascii="Arial" w:hAnsi="Arial" w:cs="Arial"/>
        </w:rPr>
        <w:t xml:space="preserve"> </w:t>
      </w:r>
    </w:p>
    <w:p w14:paraId="194DEFDD" w14:textId="77777777" w:rsidR="00AC1435" w:rsidRPr="00E810AA" w:rsidRDefault="00AC1435" w:rsidP="00AC1435">
      <w:pPr>
        <w:pStyle w:val="ListParagraph"/>
        <w:spacing w:after="0" w:line="300" w:lineRule="atLeast"/>
        <w:ind w:left="709"/>
        <w:contextualSpacing w:val="0"/>
        <w:rPr>
          <w:rFonts w:ascii="Arial" w:hAnsi="Arial" w:cs="Arial"/>
        </w:rPr>
      </w:pPr>
    </w:p>
    <w:p w14:paraId="5DF7C20D" w14:textId="24D7FB77" w:rsidR="00DC2955" w:rsidRDefault="00E56D5D"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Th</w:t>
      </w:r>
      <w:r w:rsidR="00B6151D">
        <w:rPr>
          <w:rFonts w:ascii="Arial" w:hAnsi="Arial" w:cs="Arial"/>
        </w:rPr>
        <w:t>e vacant dwellings data published by</w:t>
      </w:r>
      <w:r w:rsidRPr="00E810AA">
        <w:rPr>
          <w:rFonts w:ascii="Arial" w:hAnsi="Arial" w:cs="Arial"/>
        </w:rPr>
        <w:t xml:space="preserve"> </w:t>
      </w:r>
      <w:r w:rsidR="00FC2B9C">
        <w:rPr>
          <w:rFonts w:ascii="Arial" w:hAnsi="Arial" w:cs="Arial"/>
        </w:rPr>
        <w:t xml:space="preserve">the Ministry of Housing, Communities and Local Government (MHCLG) in January 2026, </w:t>
      </w:r>
      <w:r w:rsidR="002958E1" w:rsidRPr="00E810AA">
        <w:rPr>
          <w:rFonts w:ascii="Arial" w:hAnsi="Arial" w:cs="Arial"/>
        </w:rPr>
        <w:t>indicates</w:t>
      </w:r>
      <w:r w:rsidRPr="00E810AA">
        <w:rPr>
          <w:rFonts w:ascii="Arial" w:hAnsi="Arial" w:cs="Arial"/>
        </w:rPr>
        <w:t xml:space="preserve"> that </w:t>
      </w:r>
      <w:r w:rsidR="006C7C71" w:rsidRPr="00E810AA">
        <w:rPr>
          <w:rFonts w:ascii="Arial" w:hAnsi="Arial" w:cs="Arial"/>
        </w:rPr>
        <w:t>between 2010 and 202</w:t>
      </w:r>
      <w:r w:rsidR="00FC2B9C">
        <w:rPr>
          <w:rFonts w:ascii="Arial" w:hAnsi="Arial" w:cs="Arial"/>
        </w:rPr>
        <w:t>5</w:t>
      </w:r>
      <w:r w:rsidR="006C7C71" w:rsidRPr="00E810AA">
        <w:rPr>
          <w:rFonts w:ascii="Arial" w:hAnsi="Arial" w:cs="Arial"/>
        </w:rPr>
        <w:t>, Hyndburn has experience</w:t>
      </w:r>
      <w:r w:rsidR="00D110EB" w:rsidRPr="00E810AA">
        <w:rPr>
          <w:rFonts w:ascii="Arial" w:hAnsi="Arial" w:cs="Arial"/>
        </w:rPr>
        <w:t xml:space="preserve">d a large reduction in the number of vacant dwellings </w:t>
      </w:r>
      <w:r w:rsidR="00F0505A" w:rsidRPr="00E810AA">
        <w:rPr>
          <w:rFonts w:ascii="Arial" w:hAnsi="Arial" w:cs="Arial"/>
        </w:rPr>
        <w:t>from 2,446 to 1,</w:t>
      </w:r>
      <w:r w:rsidR="00FC2B9C">
        <w:rPr>
          <w:rFonts w:ascii="Arial" w:hAnsi="Arial" w:cs="Arial"/>
        </w:rPr>
        <w:t>187</w:t>
      </w:r>
      <w:r w:rsidR="00D110EB" w:rsidRPr="00E810AA">
        <w:rPr>
          <w:rFonts w:ascii="Arial" w:hAnsi="Arial" w:cs="Arial"/>
        </w:rPr>
        <w:t xml:space="preserve"> which equ</w:t>
      </w:r>
      <w:r w:rsidR="00FC2B9C">
        <w:rPr>
          <w:rFonts w:ascii="Arial" w:hAnsi="Arial" w:cs="Arial"/>
        </w:rPr>
        <w:t>ates</w:t>
      </w:r>
      <w:r w:rsidR="00D110EB" w:rsidRPr="00E810AA">
        <w:rPr>
          <w:rFonts w:ascii="Arial" w:hAnsi="Arial" w:cs="Arial"/>
        </w:rPr>
        <w:t xml:space="preserve"> </w:t>
      </w:r>
      <w:r w:rsidR="00971014">
        <w:rPr>
          <w:rFonts w:ascii="Arial" w:hAnsi="Arial" w:cs="Arial"/>
        </w:rPr>
        <w:t xml:space="preserve">to a </w:t>
      </w:r>
      <w:r w:rsidR="00FC2B9C">
        <w:rPr>
          <w:rFonts w:ascii="Arial" w:hAnsi="Arial" w:cs="Arial"/>
        </w:rPr>
        <w:t>51.47</w:t>
      </w:r>
      <w:r w:rsidR="00D110EB" w:rsidRPr="00E810AA">
        <w:rPr>
          <w:rFonts w:ascii="Arial" w:hAnsi="Arial" w:cs="Arial"/>
        </w:rPr>
        <w:t>% reduction</w:t>
      </w:r>
      <w:r w:rsidR="00A826BB" w:rsidRPr="00E810AA">
        <w:rPr>
          <w:rFonts w:ascii="Arial" w:hAnsi="Arial" w:cs="Arial"/>
        </w:rPr>
        <w:t>.</w:t>
      </w:r>
      <w:r w:rsidR="00D04D82">
        <w:rPr>
          <w:rFonts w:ascii="Arial" w:hAnsi="Arial" w:cs="Arial"/>
        </w:rPr>
        <w:t xml:space="preserve"> </w:t>
      </w:r>
      <w:r w:rsidR="00F0505A" w:rsidRPr="00E810AA">
        <w:rPr>
          <w:rFonts w:ascii="Arial" w:hAnsi="Arial" w:cs="Arial"/>
        </w:rPr>
        <w:t xml:space="preserve"> </w:t>
      </w:r>
      <w:r w:rsidR="00465E75" w:rsidRPr="00E810AA">
        <w:rPr>
          <w:rFonts w:ascii="Arial" w:hAnsi="Arial" w:cs="Arial"/>
        </w:rPr>
        <w:t xml:space="preserve">  </w:t>
      </w:r>
    </w:p>
    <w:p w14:paraId="04DC5554" w14:textId="77777777" w:rsidR="002411ED" w:rsidRDefault="002411ED" w:rsidP="002411ED">
      <w:pPr>
        <w:spacing w:after="0" w:line="300" w:lineRule="atLeast"/>
        <w:rPr>
          <w:rFonts w:ascii="Arial" w:hAnsi="Arial" w:cs="Arial"/>
        </w:rPr>
      </w:pPr>
    </w:p>
    <w:p w14:paraId="39443D9B" w14:textId="77777777" w:rsidR="00410C49" w:rsidRDefault="00410C49" w:rsidP="00410C49">
      <w:pPr>
        <w:tabs>
          <w:tab w:val="left" w:pos="980"/>
        </w:tabs>
        <w:spacing w:after="0" w:line="300" w:lineRule="atLeast"/>
      </w:pPr>
      <w:r>
        <w:rPr>
          <w:rFonts w:ascii="Arial" w:hAnsi="Arial" w:cs="Arial"/>
        </w:rPr>
        <w:tab/>
      </w:r>
    </w:p>
    <w:p w14:paraId="09FC35A9" w14:textId="2FD6C639" w:rsidR="00410C49" w:rsidRPr="00971014" w:rsidRDefault="00410C49" w:rsidP="00971014">
      <w:pPr>
        <w:pStyle w:val="Caption"/>
        <w:keepNext/>
        <w:ind w:left="709"/>
        <w:rPr>
          <w:rFonts w:ascii="Arial" w:hAnsi="Arial" w:cs="Arial"/>
          <w:b/>
          <w:bCs/>
          <w:i w:val="0"/>
          <w:iCs w:val="0"/>
          <w:sz w:val="22"/>
          <w:szCs w:val="22"/>
        </w:rPr>
      </w:pPr>
      <w:r w:rsidRPr="00971014">
        <w:rPr>
          <w:rFonts w:ascii="Arial" w:hAnsi="Arial" w:cs="Arial"/>
          <w:b/>
          <w:bCs/>
          <w:i w:val="0"/>
          <w:iCs w:val="0"/>
          <w:color w:val="000000" w:themeColor="text1"/>
          <w:sz w:val="22"/>
          <w:szCs w:val="22"/>
        </w:rPr>
        <w:t xml:space="preserve">Table </w:t>
      </w:r>
      <w:r w:rsidR="00852BD6" w:rsidRPr="00971014">
        <w:rPr>
          <w:rFonts w:ascii="Arial" w:hAnsi="Arial" w:cs="Arial"/>
          <w:b/>
          <w:bCs/>
          <w:i w:val="0"/>
          <w:iCs w:val="0"/>
          <w:color w:val="000000" w:themeColor="text1"/>
          <w:sz w:val="22"/>
          <w:szCs w:val="22"/>
        </w:rPr>
        <w:t>7</w:t>
      </w:r>
      <w:r w:rsidRPr="00971014">
        <w:rPr>
          <w:rFonts w:ascii="Arial" w:hAnsi="Arial" w:cs="Arial"/>
          <w:b/>
          <w:bCs/>
          <w:i w:val="0"/>
          <w:iCs w:val="0"/>
          <w:color w:val="000000" w:themeColor="text1"/>
          <w:sz w:val="22"/>
          <w:szCs w:val="22"/>
        </w:rPr>
        <w:t xml:space="preserve"> - % Of Vacancy Reductions across Lancashire 2010 - 2026, source MHCLG</w:t>
      </w:r>
    </w:p>
    <w:p w14:paraId="13C21A83" w14:textId="33E026FB" w:rsidR="002411ED" w:rsidRDefault="00410C49" w:rsidP="00971014">
      <w:pPr>
        <w:tabs>
          <w:tab w:val="left" w:pos="980"/>
        </w:tabs>
        <w:spacing w:after="0" w:line="300" w:lineRule="atLeast"/>
        <w:jc w:val="right"/>
        <w:rPr>
          <w:rFonts w:ascii="Arial" w:hAnsi="Arial" w:cs="Arial"/>
        </w:rPr>
      </w:pPr>
      <w:r>
        <w:rPr>
          <w:rFonts w:ascii="Arial" w:hAnsi="Arial" w:cs="Arial"/>
          <w:noProof/>
        </w:rPr>
        <w:drawing>
          <wp:inline distT="0" distB="0" distL="0" distR="0" wp14:anchorId="2CC11771" wp14:editId="1BA0768F">
            <wp:extent cx="5255260" cy="3158979"/>
            <wp:effectExtent l="0" t="0" r="2540" b="3810"/>
            <wp:docPr id="1786746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0130" cy="3161906"/>
                    </a:xfrm>
                    <a:prstGeom prst="rect">
                      <a:avLst/>
                    </a:prstGeom>
                    <a:noFill/>
                  </pic:spPr>
                </pic:pic>
              </a:graphicData>
            </a:graphic>
          </wp:inline>
        </w:drawing>
      </w:r>
    </w:p>
    <w:p w14:paraId="5DAC84E2" w14:textId="77777777" w:rsidR="002411ED" w:rsidRDefault="002411ED" w:rsidP="002411ED">
      <w:pPr>
        <w:spacing w:after="0" w:line="300" w:lineRule="atLeast"/>
        <w:rPr>
          <w:rFonts w:ascii="Arial" w:hAnsi="Arial" w:cs="Arial"/>
        </w:rPr>
      </w:pPr>
    </w:p>
    <w:p w14:paraId="7DEFE50C" w14:textId="486492D8" w:rsidR="0031708C" w:rsidRDefault="00852BD6" w:rsidP="00A80448">
      <w:pPr>
        <w:pStyle w:val="ListParagraph"/>
        <w:numPr>
          <w:ilvl w:val="1"/>
          <w:numId w:val="43"/>
        </w:numPr>
        <w:spacing w:after="0" w:line="300" w:lineRule="atLeast"/>
        <w:ind w:left="709" w:hanging="710"/>
        <w:contextualSpacing w:val="0"/>
        <w:rPr>
          <w:rFonts w:ascii="Arial" w:hAnsi="Arial" w:cs="Arial"/>
        </w:rPr>
      </w:pPr>
      <w:r>
        <w:rPr>
          <w:rFonts w:ascii="Arial" w:hAnsi="Arial" w:cs="Arial"/>
        </w:rPr>
        <w:t>Table 7</w:t>
      </w:r>
      <w:r w:rsidR="00D942A7" w:rsidRPr="00E810AA">
        <w:rPr>
          <w:rFonts w:ascii="Arial" w:hAnsi="Arial" w:cs="Arial"/>
        </w:rPr>
        <w:t xml:space="preserve"> illustrates that Hyndburn has shown the highest </w:t>
      </w:r>
      <w:r w:rsidR="005D6C10" w:rsidRPr="00E810AA">
        <w:rPr>
          <w:rFonts w:ascii="Arial" w:hAnsi="Arial" w:cs="Arial"/>
        </w:rPr>
        <w:t>percentage reduction of vacant dwellings within the Lancashire</w:t>
      </w:r>
      <w:r w:rsidR="00393ACA" w:rsidRPr="00E810AA">
        <w:rPr>
          <w:rFonts w:ascii="Arial" w:hAnsi="Arial" w:cs="Arial"/>
        </w:rPr>
        <w:t>-1</w:t>
      </w:r>
      <w:r w:rsidR="00280B21" w:rsidRPr="00E810AA">
        <w:rPr>
          <w:rFonts w:ascii="Arial" w:hAnsi="Arial" w:cs="Arial"/>
        </w:rPr>
        <w:t>4 area</w:t>
      </w:r>
      <w:r w:rsidR="00393ACA" w:rsidRPr="00E810AA">
        <w:rPr>
          <w:rFonts w:ascii="Arial" w:hAnsi="Arial" w:cs="Arial"/>
        </w:rPr>
        <w:t xml:space="preserve">. </w:t>
      </w:r>
      <w:r w:rsidR="001E6012">
        <w:rPr>
          <w:rFonts w:ascii="Arial" w:hAnsi="Arial" w:cs="Arial"/>
        </w:rPr>
        <w:t xml:space="preserve"> </w:t>
      </w:r>
      <w:r w:rsidR="00393ACA" w:rsidRPr="00E810AA">
        <w:rPr>
          <w:rFonts w:ascii="Arial" w:hAnsi="Arial" w:cs="Arial"/>
        </w:rPr>
        <w:t>T</w:t>
      </w:r>
      <w:r w:rsidR="00410C49">
        <w:rPr>
          <w:rFonts w:ascii="Arial" w:hAnsi="Arial" w:cs="Arial"/>
        </w:rPr>
        <w:t>wo</w:t>
      </w:r>
      <w:r w:rsidR="00393ACA" w:rsidRPr="00E810AA">
        <w:rPr>
          <w:rFonts w:ascii="Arial" w:hAnsi="Arial" w:cs="Arial"/>
        </w:rPr>
        <w:t xml:space="preserve"> </w:t>
      </w:r>
      <w:r w:rsidR="005A2D55" w:rsidRPr="00E810AA">
        <w:rPr>
          <w:rFonts w:ascii="Arial" w:hAnsi="Arial" w:cs="Arial"/>
        </w:rPr>
        <w:t>local authority areas have shown increase</w:t>
      </w:r>
      <w:r w:rsidR="001E6012">
        <w:rPr>
          <w:rFonts w:ascii="Arial" w:hAnsi="Arial" w:cs="Arial"/>
        </w:rPr>
        <w:t>s (Ribble Valley and South Ribble)</w:t>
      </w:r>
      <w:r w:rsidR="005A2D55" w:rsidRPr="00E810AA">
        <w:rPr>
          <w:rFonts w:ascii="Arial" w:hAnsi="Arial" w:cs="Arial"/>
        </w:rPr>
        <w:t xml:space="preserve"> in the number of the vacant d</w:t>
      </w:r>
      <w:r w:rsidR="00C51037" w:rsidRPr="00E810AA">
        <w:rPr>
          <w:rFonts w:ascii="Arial" w:hAnsi="Arial" w:cs="Arial"/>
        </w:rPr>
        <w:t>wellings b</w:t>
      </w:r>
      <w:r w:rsidR="00596E6E" w:rsidRPr="00E810AA">
        <w:rPr>
          <w:rFonts w:ascii="Arial" w:hAnsi="Arial" w:cs="Arial"/>
        </w:rPr>
        <w:t xml:space="preserve">etween 2010 and </w:t>
      </w:r>
      <w:r w:rsidR="006405D9" w:rsidRPr="00E810AA">
        <w:rPr>
          <w:rFonts w:ascii="Arial" w:hAnsi="Arial" w:cs="Arial"/>
        </w:rPr>
        <w:t>20</w:t>
      </w:r>
      <w:r w:rsidR="00410C49">
        <w:rPr>
          <w:rFonts w:ascii="Arial" w:hAnsi="Arial" w:cs="Arial"/>
        </w:rPr>
        <w:t>26</w:t>
      </w:r>
      <w:r w:rsidR="006405D9" w:rsidRPr="00E810AA">
        <w:rPr>
          <w:rFonts w:ascii="Arial" w:hAnsi="Arial" w:cs="Arial"/>
        </w:rPr>
        <w:t xml:space="preserve">. </w:t>
      </w:r>
    </w:p>
    <w:p w14:paraId="7732F2D8" w14:textId="77777777" w:rsidR="00AC1435" w:rsidRPr="00E810AA" w:rsidRDefault="00AC1435" w:rsidP="00AC1435">
      <w:pPr>
        <w:pStyle w:val="ListParagraph"/>
        <w:spacing w:after="0" w:line="300" w:lineRule="atLeast"/>
        <w:ind w:left="709"/>
        <w:contextualSpacing w:val="0"/>
        <w:rPr>
          <w:rFonts w:ascii="Arial" w:hAnsi="Arial" w:cs="Arial"/>
        </w:rPr>
      </w:pPr>
    </w:p>
    <w:p w14:paraId="789B417A" w14:textId="1011D0E7" w:rsidR="00A13322" w:rsidRDefault="00E83D68"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 xml:space="preserve">Blackburn with Darwen and Burnley have </w:t>
      </w:r>
      <w:r w:rsidR="00D61D9D" w:rsidRPr="00E810AA">
        <w:rPr>
          <w:rFonts w:ascii="Arial" w:hAnsi="Arial" w:cs="Arial"/>
        </w:rPr>
        <w:t xml:space="preserve">brought </w:t>
      </w:r>
      <w:r w:rsidR="00852BD6" w:rsidRPr="00E810AA">
        <w:rPr>
          <w:rFonts w:ascii="Arial" w:hAnsi="Arial" w:cs="Arial"/>
        </w:rPr>
        <w:t>area-based</w:t>
      </w:r>
      <w:r w:rsidR="00D61D9D" w:rsidRPr="00E810AA">
        <w:rPr>
          <w:rFonts w:ascii="Arial" w:hAnsi="Arial" w:cs="Arial"/>
        </w:rPr>
        <w:t xml:space="preserve"> Article 4 directions to direct and control the provision of new small HMOs with</w:t>
      </w:r>
      <w:r w:rsidR="007B5B85" w:rsidRPr="00E810AA">
        <w:rPr>
          <w:rFonts w:ascii="Arial" w:hAnsi="Arial" w:cs="Arial"/>
        </w:rPr>
        <w:t>in</w:t>
      </w:r>
      <w:r w:rsidR="00D61D9D" w:rsidRPr="00E810AA">
        <w:rPr>
          <w:rFonts w:ascii="Arial" w:hAnsi="Arial" w:cs="Arial"/>
        </w:rPr>
        <w:t xml:space="preserve"> their local authority areas </w:t>
      </w:r>
      <w:r w:rsidR="000404FE" w:rsidRPr="00E810AA">
        <w:rPr>
          <w:rFonts w:ascii="Arial" w:hAnsi="Arial" w:cs="Arial"/>
        </w:rPr>
        <w:t xml:space="preserve">since 2012 and 2022 respectively. </w:t>
      </w:r>
      <w:r w:rsidR="001E6012">
        <w:rPr>
          <w:rFonts w:ascii="Arial" w:hAnsi="Arial" w:cs="Arial"/>
        </w:rPr>
        <w:t xml:space="preserve"> </w:t>
      </w:r>
      <w:r w:rsidR="00E027A0" w:rsidRPr="00E810AA">
        <w:rPr>
          <w:rFonts w:ascii="Arial" w:hAnsi="Arial" w:cs="Arial"/>
        </w:rPr>
        <w:t>A</w:t>
      </w:r>
      <w:r w:rsidR="00372018" w:rsidRPr="00E810AA">
        <w:rPr>
          <w:rFonts w:ascii="Arial" w:hAnsi="Arial" w:cs="Arial"/>
        </w:rPr>
        <w:t>long with other factors</w:t>
      </w:r>
      <w:r w:rsidR="00971014">
        <w:rPr>
          <w:rFonts w:ascii="Arial" w:hAnsi="Arial" w:cs="Arial"/>
        </w:rPr>
        <w:t>,</w:t>
      </w:r>
      <w:r w:rsidR="00372018" w:rsidRPr="00E810AA">
        <w:rPr>
          <w:rFonts w:ascii="Arial" w:hAnsi="Arial" w:cs="Arial"/>
        </w:rPr>
        <w:t xml:space="preserve"> such as delivery of affordable homes with strategic partners</w:t>
      </w:r>
      <w:r w:rsidR="00395CF7" w:rsidRPr="00E810AA">
        <w:rPr>
          <w:rFonts w:ascii="Arial" w:hAnsi="Arial" w:cs="Arial"/>
        </w:rPr>
        <w:t xml:space="preserve"> through the measures such as </w:t>
      </w:r>
      <w:r w:rsidR="00372018" w:rsidRPr="00E810AA">
        <w:rPr>
          <w:rFonts w:ascii="Arial" w:hAnsi="Arial" w:cs="Arial"/>
        </w:rPr>
        <w:t xml:space="preserve">conversion of the </w:t>
      </w:r>
      <w:r w:rsidR="00273B22" w:rsidRPr="00E810AA">
        <w:rPr>
          <w:rFonts w:ascii="Arial" w:hAnsi="Arial" w:cs="Arial"/>
        </w:rPr>
        <w:t xml:space="preserve">long-term vacant dwellings, and </w:t>
      </w:r>
      <w:r w:rsidR="00395CF7" w:rsidRPr="00E810AA">
        <w:rPr>
          <w:rFonts w:ascii="Arial" w:hAnsi="Arial" w:cs="Arial"/>
        </w:rPr>
        <w:t>selective demolition,</w:t>
      </w:r>
      <w:r w:rsidR="00273B22" w:rsidRPr="00E810AA">
        <w:rPr>
          <w:rFonts w:ascii="Arial" w:hAnsi="Arial" w:cs="Arial"/>
        </w:rPr>
        <w:t xml:space="preserve"> b</w:t>
      </w:r>
      <w:r w:rsidR="0028270A" w:rsidRPr="00E810AA">
        <w:rPr>
          <w:rFonts w:ascii="Arial" w:hAnsi="Arial" w:cs="Arial"/>
        </w:rPr>
        <w:t xml:space="preserve">oth local authority areas </w:t>
      </w:r>
      <w:r w:rsidR="0028270A" w:rsidRPr="00E810AA">
        <w:rPr>
          <w:rFonts w:ascii="Arial" w:hAnsi="Arial" w:cs="Arial"/>
        </w:rPr>
        <w:lastRenderedPageBreak/>
        <w:t xml:space="preserve">have witnessed significant </w:t>
      </w:r>
      <w:r w:rsidR="00273B22" w:rsidRPr="00E810AA">
        <w:rPr>
          <w:rFonts w:ascii="Arial" w:hAnsi="Arial" w:cs="Arial"/>
        </w:rPr>
        <w:t>reduction</w:t>
      </w:r>
      <w:r w:rsidR="00B639BF">
        <w:rPr>
          <w:rFonts w:ascii="Arial" w:hAnsi="Arial" w:cs="Arial"/>
        </w:rPr>
        <w:t>s</w:t>
      </w:r>
      <w:r w:rsidR="00273B22" w:rsidRPr="00E810AA">
        <w:rPr>
          <w:rFonts w:ascii="Arial" w:hAnsi="Arial" w:cs="Arial"/>
        </w:rPr>
        <w:t xml:space="preserve"> in</w:t>
      </w:r>
      <w:r w:rsidR="0028270A" w:rsidRPr="00E810AA">
        <w:rPr>
          <w:rFonts w:ascii="Arial" w:hAnsi="Arial" w:cs="Arial"/>
        </w:rPr>
        <w:t xml:space="preserve"> the total number vacant dwellings, particularl</w:t>
      </w:r>
      <w:r w:rsidR="007B5B85" w:rsidRPr="00E810AA">
        <w:rPr>
          <w:rFonts w:ascii="Arial" w:hAnsi="Arial" w:cs="Arial"/>
        </w:rPr>
        <w:t>y long-term</w:t>
      </w:r>
      <w:r w:rsidR="0028270A" w:rsidRPr="00E810AA">
        <w:rPr>
          <w:rFonts w:ascii="Arial" w:hAnsi="Arial" w:cs="Arial"/>
        </w:rPr>
        <w:t xml:space="preserve"> vacant dwellings. </w:t>
      </w:r>
    </w:p>
    <w:p w14:paraId="772BCCA5" w14:textId="77777777" w:rsidR="00AC1435" w:rsidRPr="00E810AA" w:rsidRDefault="00AC1435" w:rsidP="00AC1435">
      <w:pPr>
        <w:pStyle w:val="ListParagraph"/>
        <w:spacing w:after="0" w:line="300" w:lineRule="atLeast"/>
        <w:ind w:left="709"/>
        <w:contextualSpacing w:val="0"/>
        <w:rPr>
          <w:rFonts w:ascii="Arial" w:hAnsi="Arial" w:cs="Arial"/>
        </w:rPr>
      </w:pPr>
    </w:p>
    <w:p w14:paraId="6656C25C" w14:textId="2BA7C90D" w:rsidR="00B10519" w:rsidRDefault="00DE20EB"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 xml:space="preserve">Compared with other local authority areas </w:t>
      </w:r>
      <w:r w:rsidR="00904221" w:rsidRPr="00E810AA">
        <w:rPr>
          <w:rFonts w:ascii="Arial" w:hAnsi="Arial" w:cs="Arial"/>
        </w:rPr>
        <w:t xml:space="preserve">within the county </w:t>
      </w:r>
      <w:r w:rsidRPr="00E810AA">
        <w:rPr>
          <w:rFonts w:ascii="Arial" w:hAnsi="Arial" w:cs="Arial"/>
        </w:rPr>
        <w:t>who have had a significant reduction of vacant dwellings, the situation of</w:t>
      </w:r>
      <w:r w:rsidR="00A24424" w:rsidRPr="00E810AA">
        <w:rPr>
          <w:rFonts w:ascii="Arial" w:hAnsi="Arial" w:cs="Arial"/>
        </w:rPr>
        <w:t xml:space="preserve"> Hyndburn is rather unique, as there is no Article 4 Directions for small HMOs</w:t>
      </w:r>
      <w:r w:rsidR="00B639BF">
        <w:rPr>
          <w:rFonts w:ascii="Arial" w:hAnsi="Arial" w:cs="Arial"/>
        </w:rPr>
        <w:t>. T</w:t>
      </w:r>
      <w:r w:rsidR="004370C9" w:rsidRPr="00E810AA">
        <w:rPr>
          <w:rFonts w:ascii="Arial" w:hAnsi="Arial" w:cs="Arial"/>
        </w:rPr>
        <w:t xml:space="preserve">he scale of selective demolition </w:t>
      </w:r>
      <w:r w:rsidR="00B639BF">
        <w:rPr>
          <w:rFonts w:ascii="Arial" w:hAnsi="Arial" w:cs="Arial"/>
        </w:rPr>
        <w:t xml:space="preserve">of </w:t>
      </w:r>
      <w:r w:rsidR="004370C9" w:rsidRPr="00E810AA">
        <w:rPr>
          <w:rFonts w:ascii="Arial" w:hAnsi="Arial" w:cs="Arial"/>
        </w:rPr>
        <w:t xml:space="preserve">poor quality housing is relatively small </w:t>
      </w:r>
      <w:r w:rsidR="00163519" w:rsidRPr="00E810AA">
        <w:rPr>
          <w:rFonts w:ascii="Arial" w:hAnsi="Arial" w:cs="Arial"/>
        </w:rPr>
        <w:t>and the selective licence scheme between 2018</w:t>
      </w:r>
      <w:r w:rsidR="005E0E91" w:rsidRPr="00E810AA">
        <w:rPr>
          <w:rFonts w:ascii="Arial" w:hAnsi="Arial" w:cs="Arial"/>
        </w:rPr>
        <w:t xml:space="preserve"> and 2023 only applied to less than half of the Lower Super Output Areas of the Borough (23 out of 53 LSOAs)</w:t>
      </w:r>
      <w:r w:rsidR="00410C49">
        <w:rPr>
          <w:rFonts w:ascii="Arial" w:hAnsi="Arial" w:cs="Arial"/>
        </w:rPr>
        <w:t xml:space="preserve"> and has now ended</w:t>
      </w:r>
      <w:r w:rsidR="001500BD" w:rsidRPr="00E810AA">
        <w:rPr>
          <w:rFonts w:ascii="Arial" w:hAnsi="Arial" w:cs="Arial"/>
        </w:rPr>
        <w:t>.</w:t>
      </w:r>
    </w:p>
    <w:p w14:paraId="296B3D55" w14:textId="77777777" w:rsidR="00AC1435" w:rsidRPr="00E810AA" w:rsidRDefault="00AC1435" w:rsidP="00AC1435">
      <w:pPr>
        <w:pStyle w:val="ListParagraph"/>
        <w:spacing w:after="0" w:line="300" w:lineRule="atLeast"/>
        <w:ind w:left="709"/>
        <w:contextualSpacing w:val="0"/>
        <w:rPr>
          <w:rFonts w:ascii="Arial" w:hAnsi="Arial" w:cs="Arial"/>
        </w:rPr>
      </w:pPr>
    </w:p>
    <w:p w14:paraId="121CADAA" w14:textId="52897549" w:rsidR="00622F72" w:rsidRDefault="00B10519"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The findings from the Hyndburn Selective Licencing</w:t>
      </w:r>
      <w:r w:rsidR="00C86B3A" w:rsidRPr="00E810AA">
        <w:rPr>
          <w:rFonts w:ascii="Arial" w:hAnsi="Arial" w:cs="Arial"/>
        </w:rPr>
        <w:t xml:space="preserve"> </w:t>
      </w:r>
      <w:r w:rsidR="001E6012">
        <w:rPr>
          <w:rFonts w:ascii="Arial" w:hAnsi="Arial" w:cs="Arial"/>
        </w:rPr>
        <w:t xml:space="preserve">report in </w:t>
      </w:r>
      <w:r w:rsidR="00C86B3A" w:rsidRPr="00E810AA">
        <w:rPr>
          <w:rFonts w:ascii="Arial" w:hAnsi="Arial" w:cs="Arial"/>
        </w:rPr>
        <w:t>2023</w:t>
      </w:r>
      <w:r w:rsidRPr="00E810AA">
        <w:rPr>
          <w:rFonts w:ascii="Arial" w:hAnsi="Arial" w:cs="Arial"/>
        </w:rPr>
        <w:t xml:space="preserve"> (</w:t>
      </w:r>
      <w:r w:rsidR="00C86B3A" w:rsidRPr="00E810AA">
        <w:rPr>
          <w:rFonts w:ascii="Arial" w:hAnsi="Arial" w:cs="Arial"/>
        </w:rPr>
        <w:t xml:space="preserve">produced by arc4) suggest that the </w:t>
      </w:r>
      <w:r w:rsidR="00EE4D5F" w:rsidRPr="00E810AA">
        <w:rPr>
          <w:rFonts w:ascii="Arial" w:hAnsi="Arial" w:cs="Arial"/>
        </w:rPr>
        <w:t xml:space="preserve">areas subject to </w:t>
      </w:r>
      <w:r w:rsidR="00C86B3A" w:rsidRPr="00E810AA">
        <w:rPr>
          <w:rFonts w:ascii="Arial" w:hAnsi="Arial" w:cs="Arial"/>
        </w:rPr>
        <w:t xml:space="preserve">Selective Licencing Designation </w:t>
      </w:r>
      <w:r w:rsidR="007B5B85" w:rsidRPr="00E810AA">
        <w:rPr>
          <w:rFonts w:ascii="Arial" w:hAnsi="Arial" w:cs="Arial"/>
        </w:rPr>
        <w:t>had</w:t>
      </w:r>
      <w:r w:rsidR="00912785" w:rsidRPr="00E810AA">
        <w:rPr>
          <w:rFonts w:ascii="Arial" w:hAnsi="Arial" w:cs="Arial"/>
        </w:rPr>
        <w:t xml:space="preserve"> performed well for </w:t>
      </w:r>
      <w:r w:rsidR="007533B9" w:rsidRPr="00E810AA">
        <w:rPr>
          <w:rFonts w:ascii="Arial" w:hAnsi="Arial" w:cs="Arial"/>
        </w:rPr>
        <w:t xml:space="preserve">property price change, median quartile prices for terraced properties, rent </w:t>
      </w:r>
      <w:r w:rsidR="007533B9" w:rsidRPr="004D75DB">
        <w:rPr>
          <w:rFonts w:ascii="Arial" w:hAnsi="Arial" w:cs="Arial"/>
        </w:rPr>
        <w:t>change</w:t>
      </w:r>
      <w:r w:rsidR="00763FBD" w:rsidRPr="004D75DB">
        <w:rPr>
          <w:rFonts w:ascii="Arial" w:hAnsi="Arial" w:cs="Arial"/>
        </w:rPr>
        <w:t>s</w:t>
      </w:r>
      <w:r w:rsidR="007533B9" w:rsidRPr="00E810AA">
        <w:rPr>
          <w:rFonts w:ascii="Arial" w:hAnsi="Arial" w:cs="Arial"/>
        </w:rPr>
        <w:t xml:space="preserve"> and reducing long term vacant property. </w:t>
      </w:r>
      <w:r w:rsidR="001E6012">
        <w:rPr>
          <w:rFonts w:ascii="Arial" w:hAnsi="Arial" w:cs="Arial"/>
        </w:rPr>
        <w:t xml:space="preserve"> </w:t>
      </w:r>
      <w:r w:rsidR="007533B9" w:rsidRPr="00E810AA">
        <w:rPr>
          <w:rFonts w:ascii="Arial" w:hAnsi="Arial" w:cs="Arial"/>
        </w:rPr>
        <w:t>That said, it is worth noting that the Selective Licencing Desi</w:t>
      </w:r>
      <w:r w:rsidR="00FF7169" w:rsidRPr="00E810AA">
        <w:rPr>
          <w:rFonts w:ascii="Arial" w:hAnsi="Arial" w:cs="Arial"/>
        </w:rPr>
        <w:t>gnation only affect</w:t>
      </w:r>
      <w:r w:rsidR="00410C49">
        <w:rPr>
          <w:rFonts w:ascii="Arial" w:hAnsi="Arial" w:cs="Arial"/>
        </w:rPr>
        <w:t>ed</w:t>
      </w:r>
      <w:r w:rsidR="00FF7169" w:rsidRPr="00E810AA">
        <w:rPr>
          <w:rFonts w:ascii="Arial" w:hAnsi="Arial" w:cs="Arial"/>
        </w:rPr>
        <w:t xml:space="preserve"> </w:t>
      </w:r>
      <w:r w:rsidR="00A111C9" w:rsidRPr="00E810AA">
        <w:rPr>
          <w:rFonts w:ascii="Arial" w:hAnsi="Arial" w:cs="Arial"/>
        </w:rPr>
        <w:t>24</w:t>
      </w:r>
      <w:r w:rsidR="00FF7169" w:rsidRPr="00E810AA">
        <w:rPr>
          <w:rFonts w:ascii="Arial" w:hAnsi="Arial" w:cs="Arial"/>
        </w:rPr>
        <w:t xml:space="preserve"> Lower Super Output Area</w:t>
      </w:r>
      <w:r w:rsidR="007B5B85" w:rsidRPr="00E810AA">
        <w:rPr>
          <w:rFonts w:ascii="Arial" w:hAnsi="Arial" w:cs="Arial"/>
        </w:rPr>
        <w:t>s</w:t>
      </w:r>
      <w:r w:rsidR="00FF7169" w:rsidRPr="00E810AA">
        <w:rPr>
          <w:rFonts w:ascii="Arial" w:hAnsi="Arial" w:cs="Arial"/>
        </w:rPr>
        <w:t xml:space="preserve"> </w:t>
      </w:r>
      <w:r w:rsidR="002958E1" w:rsidRPr="00E810AA">
        <w:rPr>
          <w:rFonts w:ascii="Arial" w:hAnsi="Arial" w:cs="Arial"/>
        </w:rPr>
        <w:t xml:space="preserve">(LSOAs) </w:t>
      </w:r>
      <w:r w:rsidR="00FF7169" w:rsidRPr="00E810AA">
        <w:rPr>
          <w:rFonts w:ascii="Arial" w:hAnsi="Arial" w:cs="Arial"/>
        </w:rPr>
        <w:t>of Hyndburn, which</w:t>
      </w:r>
      <w:r w:rsidR="00A02610" w:rsidRPr="00E810AA">
        <w:rPr>
          <w:rFonts w:ascii="Arial" w:hAnsi="Arial" w:cs="Arial"/>
        </w:rPr>
        <w:t xml:space="preserve"> amount to </w:t>
      </w:r>
      <w:r w:rsidR="00A111C9" w:rsidRPr="00E810AA">
        <w:rPr>
          <w:rFonts w:ascii="Arial" w:hAnsi="Arial" w:cs="Arial"/>
        </w:rPr>
        <w:t>less than 50% of LSOAs</w:t>
      </w:r>
      <w:r w:rsidR="004210F6" w:rsidRPr="00E810AA">
        <w:rPr>
          <w:rFonts w:ascii="Arial" w:hAnsi="Arial" w:cs="Arial"/>
        </w:rPr>
        <w:t xml:space="preserve"> within </w:t>
      </w:r>
      <w:r w:rsidR="00A02610" w:rsidRPr="00E810AA">
        <w:rPr>
          <w:rFonts w:ascii="Arial" w:hAnsi="Arial" w:cs="Arial"/>
        </w:rPr>
        <w:t>the Borough, and d</w:t>
      </w:r>
      <w:r w:rsidR="00410C49">
        <w:rPr>
          <w:rFonts w:ascii="Arial" w:hAnsi="Arial" w:cs="Arial"/>
        </w:rPr>
        <w:t>id</w:t>
      </w:r>
      <w:r w:rsidR="00A02610" w:rsidRPr="00E810AA">
        <w:rPr>
          <w:rFonts w:ascii="Arial" w:hAnsi="Arial" w:cs="Arial"/>
        </w:rPr>
        <w:t xml:space="preserve"> not include</w:t>
      </w:r>
      <w:r w:rsidR="00A00CE5" w:rsidRPr="00E810AA">
        <w:rPr>
          <w:rFonts w:ascii="Arial" w:hAnsi="Arial" w:cs="Arial"/>
        </w:rPr>
        <w:t xml:space="preserve"> some</w:t>
      </w:r>
      <w:r w:rsidR="00A02610" w:rsidRPr="00E810AA">
        <w:rPr>
          <w:rFonts w:ascii="Arial" w:hAnsi="Arial" w:cs="Arial"/>
        </w:rPr>
        <w:t xml:space="preserve"> key </w:t>
      </w:r>
      <w:r w:rsidR="002958E1" w:rsidRPr="00E810AA">
        <w:rPr>
          <w:rFonts w:ascii="Arial" w:hAnsi="Arial" w:cs="Arial"/>
        </w:rPr>
        <w:t>wards</w:t>
      </w:r>
      <w:r w:rsidR="00A02610" w:rsidRPr="00E810AA">
        <w:rPr>
          <w:rFonts w:ascii="Arial" w:hAnsi="Arial" w:cs="Arial"/>
        </w:rPr>
        <w:t xml:space="preserve"> and </w:t>
      </w:r>
      <w:r w:rsidR="002958E1" w:rsidRPr="00E810AA">
        <w:rPr>
          <w:rFonts w:ascii="Arial" w:hAnsi="Arial" w:cs="Arial"/>
        </w:rPr>
        <w:t>LSOAs</w:t>
      </w:r>
      <w:r w:rsidR="00A02610" w:rsidRPr="00E810AA">
        <w:rPr>
          <w:rFonts w:ascii="Arial" w:hAnsi="Arial" w:cs="Arial"/>
        </w:rPr>
        <w:t xml:space="preserve"> </w:t>
      </w:r>
      <w:r w:rsidR="00A00CE5" w:rsidRPr="00E810AA">
        <w:rPr>
          <w:rFonts w:ascii="Arial" w:hAnsi="Arial" w:cs="Arial"/>
        </w:rPr>
        <w:t>within the Borough</w:t>
      </w:r>
      <w:r w:rsidR="00B639BF">
        <w:rPr>
          <w:rFonts w:ascii="Arial" w:hAnsi="Arial" w:cs="Arial"/>
        </w:rPr>
        <w:t>.</w:t>
      </w:r>
      <w:r w:rsidR="002A7765" w:rsidRPr="00E810AA">
        <w:rPr>
          <w:rFonts w:ascii="Arial" w:hAnsi="Arial" w:cs="Arial"/>
        </w:rPr>
        <w:t xml:space="preserve"> </w:t>
      </w:r>
      <w:r w:rsidR="001E6012">
        <w:rPr>
          <w:rFonts w:ascii="Arial" w:hAnsi="Arial" w:cs="Arial"/>
        </w:rPr>
        <w:t xml:space="preserve"> </w:t>
      </w:r>
      <w:r w:rsidR="002A7765" w:rsidRPr="00E810AA">
        <w:rPr>
          <w:rFonts w:ascii="Arial" w:hAnsi="Arial" w:cs="Arial"/>
        </w:rPr>
        <w:t>Data provided by the</w:t>
      </w:r>
      <w:r w:rsidR="006930E2" w:rsidRPr="00E810AA">
        <w:rPr>
          <w:rFonts w:ascii="Arial" w:hAnsi="Arial" w:cs="Arial"/>
        </w:rPr>
        <w:t xml:space="preserve"> Housing Standards and Council </w:t>
      </w:r>
      <w:r w:rsidR="00D0054E" w:rsidRPr="00E810AA">
        <w:rPr>
          <w:rFonts w:ascii="Arial" w:hAnsi="Arial" w:cs="Arial"/>
        </w:rPr>
        <w:t>Tax</w:t>
      </w:r>
      <w:r w:rsidR="002A7765" w:rsidRPr="00E810AA">
        <w:rPr>
          <w:rFonts w:ascii="Arial" w:hAnsi="Arial" w:cs="Arial"/>
        </w:rPr>
        <w:t xml:space="preserve"> </w:t>
      </w:r>
      <w:r w:rsidR="006930E2" w:rsidRPr="00E810AA">
        <w:rPr>
          <w:rFonts w:ascii="Arial" w:hAnsi="Arial" w:cs="Arial"/>
        </w:rPr>
        <w:t>departments</w:t>
      </w:r>
      <w:r w:rsidR="004210F6" w:rsidRPr="00E810AA">
        <w:rPr>
          <w:rFonts w:ascii="Arial" w:hAnsi="Arial" w:cs="Arial"/>
        </w:rPr>
        <w:t xml:space="preserve"> has demonstrated that t</w:t>
      </w:r>
      <w:r w:rsidR="00CE3CDB" w:rsidRPr="00E810AA">
        <w:rPr>
          <w:rFonts w:ascii="Arial" w:hAnsi="Arial" w:cs="Arial"/>
        </w:rPr>
        <w:t xml:space="preserve">hose key towns and settlements not included in the Selective Licencing Designation </w:t>
      </w:r>
      <w:r w:rsidR="00ED21FD" w:rsidRPr="00E810AA">
        <w:rPr>
          <w:rFonts w:ascii="Arial" w:hAnsi="Arial" w:cs="Arial"/>
        </w:rPr>
        <w:t xml:space="preserve">have also shown </w:t>
      </w:r>
      <w:r w:rsidR="00B639BF">
        <w:rPr>
          <w:rFonts w:ascii="Arial" w:hAnsi="Arial" w:cs="Arial"/>
        </w:rPr>
        <w:t xml:space="preserve">a </w:t>
      </w:r>
      <w:r w:rsidR="00ED21FD" w:rsidRPr="00E810AA">
        <w:rPr>
          <w:rFonts w:ascii="Arial" w:hAnsi="Arial" w:cs="Arial"/>
        </w:rPr>
        <w:t>high number and concentration level of H</w:t>
      </w:r>
      <w:r w:rsidR="006900F2" w:rsidRPr="00E810AA">
        <w:rPr>
          <w:rFonts w:ascii="Arial" w:hAnsi="Arial" w:cs="Arial"/>
        </w:rPr>
        <w:t xml:space="preserve">MOs, long term vacant dwellings, </w:t>
      </w:r>
      <w:r w:rsidR="00B639BF">
        <w:rPr>
          <w:rFonts w:ascii="Arial" w:hAnsi="Arial" w:cs="Arial"/>
        </w:rPr>
        <w:t xml:space="preserve">and a </w:t>
      </w:r>
      <w:r w:rsidR="006900F2" w:rsidRPr="00E810AA">
        <w:rPr>
          <w:rFonts w:ascii="Arial" w:hAnsi="Arial" w:cs="Arial"/>
        </w:rPr>
        <w:t xml:space="preserve">high number of sales </w:t>
      </w:r>
      <w:r w:rsidR="00622F72" w:rsidRPr="00E810AA">
        <w:rPr>
          <w:rFonts w:ascii="Arial" w:hAnsi="Arial" w:cs="Arial"/>
        </w:rPr>
        <w:t xml:space="preserve">between 2020 and 2023. </w:t>
      </w:r>
    </w:p>
    <w:p w14:paraId="713F06AE" w14:textId="77777777" w:rsidR="002411ED" w:rsidRPr="00E810AA" w:rsidRDefault="002411ED" w:rsidP="002411ED">
      <w:pPr>
        <w:pStyle w:val="ListParagraph"/>
        <w:spacing w:after="0" w:line="300" w:lineRule="atLeast"/>
        <w:ind w:left="709"/>
        <w:contextualSpacing w:val="0"/>
        <w:jc w:val="both"/>
        <w:rPr>
          <w:rFonts w:ascii="Arial" w:hAnsi="Arial" w:cs="Arial"/>
        </w:rPr>
      </w:pPr>
    </w:p>
    <w:p w14:paraId="19F03CB2" w14:textId="524B5D82" w:rsidR="005C5ACD" w:rsidRDefault="00007D12"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 xml:space="preserve">In light of the above, the significant reduction of the </w:t>
      </w:r>
      <w:r w:rsidR="00410C49" w:rsidRPr="00E810AA">
        <w:rPr>
          <w:rFonts w:ascii="Arial" w:hAnsi="Arial" w:cs="Arial"/>
        </w:rPr>
        <w:t>long-term</w:t>
      </w:r>
      <w:r w:rsidRPr="00E810AA">
        <w:rPr>
          <w:rFonts w:ascii="Arial" w:hAnsi="Arial" w:cs="Arial"/>
        </w:rPr>
        <w:t xml:space="preserve"> vacant dwellings could be</w:t>
      </w:r>
      <w:r w:rsidR="007B5B85" w:rsidRPr="00E810AA">
        <w:rPr>
          <w:rFonts w:ascii="Arial" w:hAnsi="Arial" w:cs="Arial"/>
        </w:rPr>
        <w:t xml:space="preserve"> </w:t>
      </w:r>
      <w:r w:rsidR="00410C49">
        <w:rPr>
          <w:rFonts w:ascii="Arial" w:hAnsi="Arial" w:cs="Arial"/>
        </w:rPr>
        <w:t xml:space="preserve">partly </w:t>
      </w:r>
      <w:r w:rsidR="007B5B85" w:rsidRPr="00E810AA">
        <w:rPr>
          <w:rFonts w:ascii="Arial" w:hAnsi="Arial" w:cs="Arial"/>
        </w:rPr>
        <w:t>an</w:t>
      </w:r>
      <w:r w:rsidRPr="00E810AA">
        <w:rPr>
          <w:rFonts w:ascii="Arial" w:hAnsi="Arial" w:cs="Arial"/>
        </w:rPr>
        <w:t xml:space="preserve"> outcome of the Selective Licencing </w:t>
      </w:r>
      <w:r w:rsidR="00410C49">
        <w:rPr>
          <w:rFonts w:ascii="Arial" w:hAnsi="Arial" w:cs="Arial"/>
        </w:rPr>
        <w:t xml:space="preserve">Scheme </w:t>
      </w:r>
      <w:r w:rsidRPr="00E810AA">
        <w:rPr>
          <w:rFonts w:ascii="Arial" w:hAnsi="Arial" w:cs="Arial"/>
        </w:rPr>
        <w:t>between 2018 and 2023. Nevertheless, t</w:t>
      </w:r>
      <w:r w:rsidR="00465E75" w:rsidRPr="00E810AA">
        <w:rPr>
          <w:rFonts w:ascii="Arial" w:hAnsi="Arial" w:cs="Arial"/>
        </w:rPr>
        <w:t>here</w:t>
      </w:r>
      <w:r w:rsidR="0035601F" w:rsidRPr="00E810AA">
        <w:rPr>
          <w:rFonts w:ascii="Arial" w:hAnsi="Arial" w:cs="Arial"/>
        </w:rPr>
        <w:t xml:space="preserve"> is little doubt that a large proportion of the former vacant dwellings</w:t>
      </w:r>
      <w:r w:rsidR="005C5ACD" w:rsidRPr="00E810AA">
        <w:rPr>
          <w:rFonts w:ascii="Arial" w:hAnsi="Arial" w:cs="Arial"/>
        </w:rPr>
        <w:t xml:space="preserve"> within the Selective Licensing areas and the rest of the Borough</w:t>
      </w:r>
      <w:r w:rsidRPr="00E810AA">
        <w:rPr>
          <w:rFonts w:ascii="Arial" w:hAnsi="Arial" w:cs="Arial"/>
        </w:rPr>
        <w:t xml:space="preserve"> </w:t>
      </w:r>
      <w:r w:rsidR="00410C49">
        <w:rPr>
          <w:rFonts w:ascii="Arial" w:hAnsi="Arial" w:cs="Arial"/>
        </w:rPr>
        <w:t xml:space="preserve">of </w:t>
      </w:r>
      <w:r w:rsidRPr="00E810AA">
        <w:rPr>
          <w:rFonts w:ascii="Arial" w:hAnsi="Arial" w:cs="Arial"/>
        </w:rPr>
        <w:t>Hyndburn</w:t>
      </w:r>
      <w:r w:rsidR="0035601F" w:rsidRPr="00E810AA">
        <w:rPr>
          <w:rFonts w:ascii="Arial" w:hAnsi="Arial" w:cs="Arial"/>
        </w:rPr>
        <w:t xml:space="preserve"> </w:t>
      </w:r>
      <w:r w:rsidR="00D37B7D" w:rsidRPr="00E810AA">
        <w:rPr>
          <w:rFonts w:ascii="Arial" w:hAnsi="Arial" w:cs="Arial"/>
        </w:rPr>
        <w:t>have</w:t>
      </w:r>
      <w:r w:rsidR="0035601F" w:rsidRPr="00E810AA">
        <w:rPr>
          <w:rFonts w:ascii="Arial" w:hAnsi="Arial" w:cs="Arial"/>
        </w:rPr>
        <w:t xml:space="preserve"> been </w:t>
      </w:r>
      <w:r w:rsidR="00D37B7D" w:rsidRPr="00E810AA">
        <w:rPr>
          <w:rFonts w:ascii="Arial" w:hAnsi="Arial" w:cs="Arial"/>
        </w:rPr>
        <w:t>bought</w:t>
      </w:r>
      <w:r w:rsidR="0035601F" w:rsidRPr="00E810AA">
        <w:rPr>
          <w:rFonts w:ascii="Arial" w:hAnsi="Arial" w:cs="Arial"/>
        </w:rPr>
        <w:t xml:space="preserve"> by pr</w:t>
      </w:r>
      <w:r w:rsidR="006663A9" w:rsidRPr="00E810AA">
        <w:rPr>
          <w:rFonts w:ascii="Arial" w:hAnsi="Arial" w:cs="Arial"/>
        </w:rPr>
        <w:t xml:space="preserve">ivate owners. </w:t>
      </w:r>
      <w:r w:rsidR="00B639BF">
        <w:rPr>
          <w:rFonts w:ascii="Arial" w:hAnsi="Arial" w:cs="Arial"/>
        </w:rPr>
        <w:t>T</w:t>
      </w:r>
      <w:r w:rsidR="006663A9" w:rsidRPr="00E810AA">
        <w:rPr>
          <w:rFonts w:ascii="Arial" w:hAnsi="Arial" w:cs="Arial"/>
        </w:rPr>
        <w:t xml:space="preserve">he population of Hyndburn has only increased by 738 (approximately 1.9%) between 2011 and 2021 (according to the </w:t>
      </w:r>
      <w:r w:rsidR="00B639BF">
        <w:rPr>
          <w:rFonts w:ascii="Arial" w:hAnsi="Arial" w:cs="Arial"/>
        </w:rPr>
        <w:t>C</w:t>
      </w:r>
      <w:r w:rsidR="006663A9" w:rsidRPr="00E810AA">
        <w:rPr>
          <w:rFonts w:ascii="Arial" w:hAnsi="Arial" w:cs="Arial"/>
        </w:rPr>
        <w:t xml:space="preserve">ensus data), which is significantly below the percentage increase of Lancashire-12 (5.5% increase) and England (6.6% increase). </w:t>
      </w:r>
      <w:r w:rsidR="001E6012">
        <w:rPr>
          <w:rFonts w:ascii="Arial" w:hAnsi="Arial" w:cs="Arial"/>
        </w:rPr>
        <w:t xml:space="preserve"> </w:t>
      </w:r>
      <w:r w:rsidR="007022D5">
        <w:rPr>
          <w:rFonts w:ascii="Arial" w:hAnsi="Arial" w:cs="Arial"/>
        </w:rPr>
        <w:t>From 2021 to 2024</w:t>
      </w:r>
      <w:r w:rsidR="007022D5">
        <w:rPr>
          <w:rStyle w:val="FootnoteReference"/>
          <w:rFonts w:ascii="Arial" w:hAnsi="Arial" w:cs="Arial"/>
        </w:rPr>
        <w:footnoteReference w:id="9"/>
      </w:r>
      <w:r w:rsidR="007022D5">
        <w:rPr>
          <w:rFonts w:ascii="Arial" w:hAnsi="Arial" w:cs="Arial"/>
        </w:rPr>
        <w:t xml:space="preserve"> the population increased </w:t>
      </w:r>
      <w:r w:rsidR="00B639BF">
        <w:rPr>
          <w:rFonts w:ascii="Arial" w:hAnsi="Arial" w:cs="Arial"/>
        </w:rPr>
        <w:t>from</w:t>
      </w:r>
      <w:r w:rsidR="007022D5">
        <w:rPr>
          <w:rFonts w:ascii="Arial" w:hAnsi="Arial" w:cs="Arial"/>
        </w:rPr>
        <w:t xml:space="preserve"> </w:t>
      </w:r>
      <w:r w:rsidR="00B639BF">
        <w:rPr>
          <w:rFonts w:ascii="Arial" w:hAnsi="Arial" w:cs="Arial"/>
        </w:rPr>
        <w:t>82,271</w:t>
      </w:r>
      <w:r w:rsidR="00B639BF">
        <w:rPr>
          <w:rFonts w:ascii="Arial" w:hAnsi="Arial" w:cs="Arial"/>
        </w:rPr>
        <w:t xml:space="preserve"> to </w:t>
      </w:r>
      <w:r w:rsidR="007022D5">
        <w:rPr>
          <w:rFonts w:ascii="Arial" w:hAnsi="Arial" w:cs="Arial"/>
        </w:rPr>
        <w:t>86,058, which is an increase of 3</w:t>
      </w:r>
      <w:r w:rsidR="00B639BF">
        <w:rPr>
          <w:rFonts w:ascii="Arial" w:hAnsi="Arial" w:cs="Arial"/>
        </w:rPr>
        <w:t>,</w:t>
      </w:r>
      <w:r w:rsidR="007022D5">
        <w:rPr>
          <w:rFonts w:ascii="Arial" w:hAnsi="Arial" w:cs="Arial"/>
        </w:rPr>
        <w:t>787, more than the 10 previous years. This could be accounted for in the slightly higher</w:t>
      </w:r>
      <w:r w:rsidR="00B639BF">
        <w:rPr>
          <w:rFonts w:ascii="Arial" w:hAnsi="Arial" w:cs="Arial"/>
        </w:rPr>
        <w:t xml:space="preserve"> new build</w:t>
      </w:r>
      <w:r w:rsidR="007022D5">
        <w:rPr>
          <w:rFonts w:ascii="Arial" w:hAnsi="Arial" w:cs="Arial"/>
        </w:rPr>
        <w:t xml:space="preserve"> completion rates, but would not account for an increase in the population residing in the second-hand housing market.  </w:t>
      </w:r>
      <w:r w:rsidR="006663A9" w:rsidRPr="00E810AA">
        <w:rPr>
          <w:rFonts w:ascii="Arial" w:hAnsi="Arial" w:cs="Arial"/>
        </w:rPr>
        <w:t>Furthermore, the percentage of households in the pr</w:t>
      </w:r>
      <w:r w:rsidR="004D75DB">
        <w:rPr>
          <w:rFonts w:ascii="Arial" w:hAnsi="Arial" w:cs="Arial"/>
        </w:rPr>
        <w:t>ivate renting sector increased fr</w:t>
      </w:r>
      <w:r w:rsidR="006663A9" w:rsidRPr="00E810AA">
        <w:rPr>
          <w:rFonts w:ascii="Arial" w:hAnsi="Arial" w:cs="Arial"/>
        </w:rPr>
        <w:t xml:space="preserve">om 18.2% to 23.1%, and social rented sector rose from 12.8% in 2011 to 13.5% in 2021, while the rate of home ownership decreased from 67.7% to 63.1%. </w:t>
      </w:r>
      <w:r w:rsidR="001E6012">
        <w:rPr>
          <w:rFonts w:ascii="Arial" w:hAnsi="Arial" w:cs="Arial"/>
        </w:rPr>
        <w:t xml:space="preserve"> In light of those figures</w:t>
      </w:r>
      <w:r w:rsidR="006663A9" w:rsidRPr="00E810AA">
        <w:rPr>
          <w:rFonts w:ascii="Arial" w:hAnsi="Arial" w:cs="Arial"/>
        </w:rPr>
        <w:t xml:space="preserve">, it is reasonable to conclude that the majority of vacant properties within Hyndburn </w:t>
      </w:r>
      <w:r w:rsidR="007B5B85" w:rsidRPr="00E810AA">
        <w:rPr>
          <w:rFonts w:ascii="Arial" w:hAnsi="Arial" w:cs="Arial"/>
        </w:rPr>
        <w:t>have</w:t>
      </w:r>
      <w:r w:rsidR="00D37B7D" w:rsidRPr="00E810AA">
        <w:rPr>
          <w:rFonts w:ascii="Arial" w:hAnsi="Arial" w:cs="Arial"/>
        </w:rPr>
        <w:t xml:space="preserve"> been absorbed by </w:t>
      </w:r>
      <w:r w:rsidR="001E6012">
        <w:rPr>
          <w:rFonts w:ascii="Arial" w:hAnsi="Arial" w:cs="Arial"/>
        </w:rPr>
        <w:t xml:space="preserve">the </w:t>
      </w:r>
      <w:r w:rsidR="00D37B7D" w:rsidRPr="00E810AA">
        <w:rPr>
          <w:rFonts w:ascii="Arial" w:hAnsi="Arial" w:cs="Arial"/>
        </w:rPr>
        <w:t xml:space="preserve">private </w:t>
      </w:r>
      <w:r w:rsidR="001E6012">
        <w:rPr>
          <w:rFonts w:ascii="Arial" w:hAnsi="Arial" w:cs="Arial"/>
        </w:rPr>
        <w:t>rental</w:t>
      </w:r>
      <w:r w:rsidR="007F79E3" w:rsidRPr="00E810AA">
        <w:rPr>
          <w:rFonts w:ascii="Arial" w:hAnsi="Arial" w:cs="Arial"/>
        </w:rPr>
        <w:t xml:space="preserve"> sector</w:t>
      </w:r>
      <w:r w:rsidR="00A36CAE" w:rsidRPr="00E810AA">
        <w:rPr>
          <w:rFonts w:ascii="Arial" w:hAnsi="Arial" w:cs="Arial"/>
        </w:rPr>
        <w:t xml:space="preserve">, </w:t>
      </w:r>
      <w:r w:rsidR="006663A9" w:rsidRPr="00E810AA">
        <w:rPr>
          <w:rFonts w:ascii="Arial" w:hAnsi="Arial" w:cs="Arial"/>
        </w:rPr>
        <w:t>government partnership</w:t>
      </w:r>
      <w:r w:rsidR="00B639BF">
        <w:rPr>
          <w:rFonts w:ascii="Arial" w:hAnsi="Arial" w:cs="Arial"/>
        </w:rPr>
        <w:t>s</w:t>
      </w:r>
      <w:r w:rsidR="00A36CAE" w:rsidRPr="00E810AA">
        <w:rPr>
          <w:rFonts w:ascii="Arial" w:hAnsi="Arial" w:cs="Arial"/>
        </w:rPr>
        <w:t xml:space="preserve">, and adults/children </w:t>
      </w:r>
      <w:r w:rsidR="0043777D" w:rsidRPr="00E810AA">
        <w:rPr>
          <w:rFonts w:ascii="Arial" w:hAnsi="Arial" w:cs="Arial"/>
        </w:rPr>
        <w:t xml:space="preserve">care </w:t>
      </w:r>
      <w:r w:rsidR="006663A9" w:rsidRPr="00E810AA">
        <w:rPr>
          <w:rFonts w:ascii="Arial" w:hAnsi="Arial" w:cs="Arial"/>
        </w:rPr>
        <w:t>sectors</w:t>
      </w:r>
      <w:r w:rsidR="001E6012">
        <w:rPr>
          <w:rFonts w:ascii="Arial" w:hAnsi="Arial" w:cs="Arial"/>
        </w:rPr>
        <w:t xml:space="preserve">, </w:t>
      </w:r>
      <w:r w:rsidR="00586264" w:rsidRPr="00E810AA">
        <w:rPr>
          <w:rFonts w:ascii="Arial" w:hAnsi="Arial" w:cs="Arial"/>
        </w:rPr>
        <w:t>of</w:t>
      </w:r>
      <w:r w:rsidR="007F79E3" w:rsidRPr="00E810AA">
        <w:rPr>
          <w:rFonts w:ascii="Arial" w:hAnsi="Arial" w:cs="Arial"/>
        </w:rPr>
        <w:t xml:space="preserve"> which</w:t>
      </w:r>
      <w:r w:rsidR="00B639BF">
        <w:rPr>
          <w:rFonts w:ascii="Arial" w:hAnsi="Arial" w:cs="Arial"/>
        </w:rPr>
        <w:t xml:space="preserve"> many will be</w:t>
      </w:r>
      <w:r w:rsidR="007F79E3" w:rsidRPr="00E810AA">
        <w:rPr>
          <w:rFonts w:ascii="Arial" w:hAnsi="Arial" w:cs="Arial"/>
        </w:rPr>
        <w:t xml:space="preserve"> HMOs</w:t>
      </w:r>
      <w:r w:rsidR="00B639BF">
        <w:rPr>
          <w:rFonts w:ascii="Arial" w:hAnsi="Arial" w:cs="Arial"/>
        </w:rPr>
        <w:t>.</w:t>
      </w:r>
      <w:r w:rsidR="001E6012">
        <w:rPr>
          <w:rFonts w:ascii="Arial" w:hAnsi="Arial" w:cs="Arial"/>
        </w:rPr>
        <w:t xml:space="preserve"> </w:t>
      </w:r>
    </w:p>
    <w:p w14:paraId="30553954" w14:textId="77777777" w:rsidR="00AC1435" w:rsidRPr="00E810AA" w:rsidRDefault="00AC1435" w:rsidP="00AC1435">
      <w:pPr>
        <w:pStyle w:val="ListParagraph"/>
        <w:spacing w:after="0" w:line="300" w:lineRule="atLeast"/>
        <w:ind w:left="709"/>
        <w:contextualSpacing w:val="0"/>
        <w:rPr>
          <w:rFonts w:ascii="Arial" w:hAnsi="Arial" w:cs="Arial"/>
        </w:rPr>
      </w:pPr>
    </w:p>
    <w:p w14:paraId="50851BFD" w14:textId="77777777" w:rsidR="006663A9" w:rsidRPr="002411ED" w:rsidRDefault="006663A9" w:rsidP="002411ED">
      <w:pPr>
        <w:spacing w:after="0" w:line="300" w:lineRule="atLeast"/>
        <w:ind w:firstLine="709"/>
        <w:rPr>
          <w:rFonts w:ascii="Arial" w:hAnsi="Arial" w:cs="Arial"/>
          <w:b/>
        </w:rPr>
      </w:pPr>
      <w:r w:rsidRPr="002411ED">
        <w:rPr>
          <w:rFonts w:ascii="Arial" w:hAnsi="Arial" w:cs="Arial"/>
          <w:b/>
        </w:rPr>
        <w:t xml:space="preserve">Impact on Environmental and Accommodation Quality </w:t>
      </w:r>
    </w:p>
    <w:p w14:paraId="1D8F95E6" w14:textId="77777777" w:rsidR="00AC1435" w:rsidRPr="00E810AA" w:rsidRDefault="00AC1435" w:rsidP="00AC1435">
      <w:pPr>
        <w:pStyle w:val="ListParagraph"/>
        <w:spacing w:after="0" w:line="300" w:lineRule="atLeast"/>
        <w:ind w:left="1429"/>
        <w:contextualSpacing w:val="0"/>
        <w:rPr>
          <w:rFonts w:ascii="Arial" w:hAnsi="Arial" w:cs="Arial"/>
        </w:rPr>
      </w:pPr>
    </w:p>
    <w:p w14:paraId="28765BFE" w14:textId="4D32E427" w:rsidR="006663A9" w:rsidRDefault="006663A9"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lastRenderedPageBreak/>
        <w:t xml:space="preserve">As stated in the previous sections of this report, </w:t>
      </w:r>
      <w:r w:rsidR="00A111C9" w:rsidRPr="00E810AA">
        <w:rPr>
          <w:rFonts w:ascii="Arial" w:hAnsi="Arial" w:cs="Arial"/>
        </w:rPr>
        <w:t xml:space="preserve">it has been widely claimed that </w:t>
      </w:r>
      <w:r w:rsidRPr="00E810AA">
        <w:rPr>
          <w:rFonts w:ascii="Arial" w:hAnsi="Arial" w:cs="Arial"/>
        </w:rPr>
        <w:t xml:space="preserve">HMOs could potentially have </w:t>
      </w:r>
      <w:r w:rsidR="007022D5">
        <w:rPr>
          <w:rFonts w:ascii="Arial" w:hAnsi="Arial" w:cs="Arial"/>
        </w:rPr>
        <w:t xml:space="preserve">a </w:t>
      </w:r>
      <w:r w:rsidRPr="00E810AA">
        <w:rPr>
          <w:rFonts w:ascii="Arial" w:hAnsi="Arial" w:cs="Arial"/>
        </w:rPr>
        <w:t xml:space="preserve">negative impact on the physical environment and </w:t>
      </w:r>
      <w:r w:rsidR="00C835C9">
        <w:rPr>
          <w:rFonts w:ascii="Arial" w:hAnsi="Arial" w:cs="Arial"/>
        </w:rPr>
        <w:t>character of the street scene</w:t>
      </w:r>
      <w:r w:rsidRPr="00E810AA">
        <w:rPr>
          <w:rFonts w:ascii="Arial" w:hAnsi="Arial" w:cs="Arial"/>
        </w:rPr>
        <w:t xml:space="preserve"> due to more people living in a HMO than would generally live in the same size house occupied by a family, and also higher levels of transience meaning that people feel less desire to look after the property if they are only stay for a short time</w:t>
      </w:r>
      <w:r w:rsidRPr="00E810AA">
        <w:rPr>
          <w:rStyle w:val="FootnoteReference"/>
          <w:rFonts w:ascii="Arial" w:hAnsi="Arial" w:cs="Arial"/>
        </w:rPr>
        <w:footnoteReference w:id="10"/>
      </w:r>
      <w:r w:rsidRPr="00E810AA">
        <w:rPr>
          <w:rFonts w:ascii="Arial" w:hAnsi="Arial" w:cs="Arial"/>
        </w:rPr>
        <w:t>.</w:t>
      </w:r>
    </w:p>
    <w:p w14:paraId="5FB3E508" w14:textId="77777777" w:rsidR="00AC1435" w:rsidRPr="00E810AA" w:rsidRDefault="00AC1435" w:rsidP="00AC1435">
      <w:pPr>
        <w:pStyle w:val="ListParagraph"/>
        <w:spacing w:after="0" w:line="300" w:lineRule="atLeast"/>
        <w:ind w:left="709"/>
        <w:contextualSpacing w:val="0"/>
        <w:rPr>
          <w:rFonts w:ascii="Arial" w:hAnsi="Arial" w:cs="Arial"/>
        </w:rPr>
      </w:pPr>
    </w:p>
    <w:p w14:paraId="136641DF" w14:textId="2C35C313" w:rsidR="00AC3AB0" w:rsidRDefault="006663A9"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HMOs w</w:t>
      </w:r>
      <w:r w:rsidR="001E6012">
        <w:rPr>
          <w:rFonts w:ascii="Arial" w:hAnsi="Arial" w:cs="Arial"/>
        </w:rPr>
        <w:t>ill normally require more space</w:t>
      </w:r>
      <w:r w:rsidRPr="00E810AA">
        <w:rPr>
          <w:rFonts w:ascii="Arial" w:hAnsi="Arial" w:cs="Arial"/>
        </w:rPr>
        <w:t xml:space="preserve"> for bin and cycle storage than standard C3 dwellings, and this could be a particular concern </w:t>
      </w:r>
      <w:r w:rsidR="00C835C9">
        <w:rPr>
          <w:rFonts w:ascii="Arial" w:hAnsi="Arial" w:cs="Arial"/>
        </w:rPr>
        <w:t>when</w:t>
      </w:r>
      <w:r w:rsidRPr="00E810AA">
        <w:rPr>
          <w:rFonts w:ascii="Arial" w:hAnsi="Arial" w:cs="Arial"/>
        </w:rPr>
        <w:t xml:space="preserve"> </w:t>
      </w:r>
      <w:r w:rsidR="00C835C9" w:rsidRPr="00E810AA">
        <w:rPr>
          <w:rFonts w:ascii="Arial" w:hAnsi="Arial" w:cs="Arial"/>
        </w:rPr>
        <w:t>small, terraced</w:t>
      </w:r>
      <w:r w:rsidRPr="00E810AA">
        <w:rPr>
          <w:rFonts w:ascii="Arial" w:hAnsi="Arial" w:cs="Arial"/>
        </w:rPr>
        <w:t xml:space="preserve"> properties </w:t>
      </w:r>
      <w:r w:rsidR="00C835C9">
        <w:rPr>
          <w:rFonts w:ascii="Arial" w:hAnsi="Arial" w:cs="Arial"/>
        </w:rPr>
        <w:t xml:space="preserve">are </w:t>
      </w:r>
      <w:r w:rsidR="00C835C9" w:rsidRPr="00E810AA">
        <w:rPr>
          <w:rFonts w:ascii="Arial" w:hAnsi="Arial" w:cs="Arial"/>
        </w:rPr>
        <w:t>converted</w:t>
      </w:r>
      <w:r w:rsidRPr="00E810AA">
        <w:rPr>
          <w:rFonts w:ascii="Arial" w:hAnsi="Arial" w:cs="Arial"/>
        </w:rPr>
        <w:t xml:space="preserve"> into HMOs. </w:t>
      </w:r>
      <w:r w:rsidR="001E6012">
        <w:rPr>
          <w:rFonts w:ascii="Arial" w:hAnsi="Arial" w:cs="Arial"/>
        </w:rPr>
        <w:t xml:space="preserve"> </w:t>
      </w:r>
      <w:r w:rsidRPr="00E810AA">
        <w:rPr>
          <w:rFonts w:ascii="Arial" w:hAnsi="Arial" w:cs="Arial"/>
        </w:rPr>
        <w:t>Although most of those properties may have modest sized rear yards providing bin/cycle store, such arrangement</w:t>
      </w:r>
      <w:r w:rsidR="00C835C9">
        <w:rPr>
          <w:rFonts w:ascii="Arial" w:hAnsi="Arial" w:cs="Arial"/>
        </w:rPr>
        <w:t>s</w:t>
      </w:r>
      <w:r w:rsidRPr="00E810AA">
        <w:rPr>
          <w:rFonts w:ascii="Arial" w:hAnsi="Arial" w:cs="Arial"/>
        </w:rPr>
        <w:t xml:space="preserve"> could compromise the usable external space for the enjoyment of the HMO residents. </w:t>
      </w:r>
      <w:r w:rsidR="001E6012">
        <w:rPr>
          <w:rFonts w:ascii="Arial" w:hAnsi="Arial" w:cs="Arial"/>
        </w:rPr>
        <w:t xml:space="preserve"> </w:t>
      </w:r>
      <w:r w:rsidRPr="00E810AA">
        <w:rPr>
          <w:rFonts w:ascii="Arial" w:hAnsi="Arial" w:cs="Arial"/>
        </w:rPr>
        <w:t xml:space="preserve">The storage of bins in the small </w:t>
      </w:r>
      <w:r w:rsidR="00C835C9">
        <w:rPr>
          <w:rFonts w:ascii="Arial" w:hAnsi="Arial" w:cs="Arial"/>
        </w:rPr>
        <w:t xml:space="preserve">front </w:t>
      </w:r>
      <w:r w:rsidRPr="00E810AA">
        <w:rPr>
          <w:rFonts w:ascii="Arial" w:hAnsi="Arial" w:cs="Arial"/>
        </w:rPr>
        <w:t>forecourt of some terraced properties w</w:t>
      </w:r>
      <w:r w:rsidR="00C835C9">
        <w:rPr>
          <w:rFonts w:ascii="Arial" w:hAnsi="Arial" w:cs="Arial"/>
        </w:rPr>
        <w:t>ill</w:t>
      </w:r>
      <w:r w:rsidRPr="00E810AA">
        <w:rPr>
          <w:rFonts w:ascii="Arial" w:hAnsi="Arial" w:cs="Arial"/>
        </w:rPr>
        <w:t xml:space="preserve"> detract significantly from the quality </w:t>
      </w:r>
      <w:r w:rsidR="00C835C9">
        <w:rPr>
          <w:rFonts w:ascii="Arial" w:hAnsi="Arial" w:cs="Arial"/>
        </w:rPr>
        <w:t>and character of the s</w:t>
      </w:r>
      <w:r w:rsidRPr="00E810AA">
        <w:rPr>
          <w:rFonts w:ascii="Arial" w:hAnsi="Arial" w:cs="Arial"/>
        </w:rPr>
        <w:t>treet</w:t>
      </w:r>
      <w:r w:rsidR="0071040F" w:rsidRPr="00E810AA">
        <w:rPr>
          <w:rFonts w:ascii="Arial" w:hAnsi="Arial" w:cs="Arial"/>
        </w:rPr>
        <w:t xml:space="preserve"> </w:t>
      </w:r>
      <w:r w:rsidRPr="00E810AA">
        <w:rPr>
          <w:rFonts w:ascii="Arial" w:hAnsi="Arial" w:cs="Arial"/>
        </w:rPr>
        <w:t>scene and could encroach into off-s</w:t>
      </w:r>
      <w:r w:rsidR="00AC3AB0" w:rsidRPr="00E810AA">
        <w:rPr>
          <w:rFonts w:ascii="Arial" w:hAnsi="Arial" w:cs="Arial"/>
        </w:rPr>
        <w:t xml:space="preserve">treet parking. </w:t>
      </w:r>
    </w:p>
    <w:p w14:paraId="54F9B2F2" w14:textId="77777777" w:rsidR="00AC1435" w:rsidRPr="00E810AA" w:rsidRDefault="00AC1435" w:rsidP="00AC1435">
      <w:pPr>
        <w:pStyle w:val="ListParagraph"/>
        <w:spacing w:after="0" w:line="300" w:lineRule="atLeast"/>
        <w:ind w:left="709"/>
        <w:contextualSpacing w:val="0"/>
        <w:rPr>
          <w:rFonts w:ascii="Arial" w:hAnsi="Arial" w:cs="Arial"/>
        </w:rPr>
      </w:pPr>
    </w:p>
    <w:p w14:paraId="0A52CAD4" w14:textId="17D675F6" w:rsidR="006663A9" w:rsidRDefault="00AC3AB0"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 xml:space="preserve">Other than the potential adverse impact on the </w:t>
      </w:r>
      <w:r w:rsidR="00C835C9">
        <w:rPr>
          <w:rFonts w:ascii="Arial" w:hAnsi="Arial" w:cs="Arial"/>
        </w:rPr>
        <w:t xml:space="preserve">character of the </w:t>
      </w:r>
      <w:r w:rsidRPr="00E810AA">
        <w:rPr>
          <w:rFonts w:ascii="Arial" w:hAnsi="Arial" w:cs="Arial"/>
        </w:rPr>
        <w:t>street</w:t>
      </w:r>
      <w:r w:rsidR="0071040F" w:rsidRPr="00E810AA">
        <w:rPr>
          <w:rFonts w:ascii="Arial" w:hAnsi="Arial" w:cs="Arial"/>
        </w:rPr>
        <w:t xml:space="preserve"> </w:t>
      </w:r>
      <w:r w:rsidRPr="00E810AA">
        <w:rPr>
          <w:rFonts w:ascii="Arial" w:hAnsi="Arial" w:cs="Arial"/>
        </w:rPr>
        <w:t>scene, H</w:t>
      </w:r>
      <w:r w:rsidR="005B12C0" w:rsidRPr="00E810AA">
        <w:rPr>
          <w:rFonts w:ascii="Arial" w:hAnsi="Arial" w:cs="Arial"/>
        </w:rPr>
        <w:t xml:space="preserve">MOs </w:t>
      </w:r>
      <w:r w:rsidR="00B639BF">
        <w:rPr>
          <w:rFonts w:ascii="Arial" w:hAnsi="Arial" w:cs="Arial"/>
        </w:rPr>
        <w:t>(</w:t>
      </w:r>
      <w:r w:rsidRPr="00E810AA">
        <w:rPr>
          <w:rFonts w:ascii="Arial" w:hAnsi="Arial" w:cs="Arial"/>
        </w:rPr>
        <w:t>particula</w:t>
      </w:r>
      <w:r w:rsidR="005B12C0" w:rsidRPr="00E810AA">
        <w:rPr>
          <w:rFonts w:ascii="Arial" w:hAnsi="Arial" w:cs="Arial"/>
        </w:rPr>
        <w:t>rly unlicensed small HMOs</w:t>
      </w:r>
      <w:r w:rsidR="00B639BF">
        <w:rPr>
          <w:rFonts w:ascii="Arial" w:hAnsi="Arial" w:cs="Arial"/>
        </w:rPr>
        <w:t>),</w:t>
      </w:r>
      <w:r w:rsidR="005B12C0" w:rsidRPr="00E810AA">
        <w:rPr>
          <w:rFonts w:ascii="Arial" w:hAnsi="Arial" w:cs="Arial"/>
        </w:rPr>
        <w:t xml:space="preserve"> </w:t>
      </w:r>
      <w:r w:rsidR="00F24804" w:rsidRPr="00E810AA">
        <w:rPr>
          <w:rFonts w:ascii="Arial" w:hAnsi="Arial" w:cs="Arial"/>
        </w:rPr>
        <w:t xml:space="preserve">often fail to ensure adequate living standards for occupiers. Given the modest internal floor space and layout of the traditional terraced properties in Hyndburn, most of the HMO bed spaces through </w:t>
      </w:r>
      <w:r w:rsidR="00C835C9">
        <w:rPr>
          <w:rFonts w:ascii="Arial" w:hAnsi="Arial" w:cs="Arial"/>
        </w:rPr>
        <w:t xml:space="preserve">a </w:t>
      </w:r>
      <w:r w:rsidR="00F24804" w:rsidRPr="00E810AA">
        <w:rPr>
          <w:rFonts w:ascii="Arial" w:hAnsi="Arial" w:cs="Arial"/>
        </w:rPr>
        <w:t>change of use of the dwelling houses</w:t>
      </w:r>
      <w:r w:rsidR="0071040F" w:rsidRPr="00E810AA">
        <w:rPr>
          <w:rFonts w:ascii="Arial" w:hAnsi="Arial" w:cs="Arial"/>
        </w:rPr>
        <w:t xml:space="preserve"> (particularly the traditional terraced properties)</w:t>
      </w:r>
      <w:r w:rsidR="00F24804" w:rsidRPr="00E810AA">
        <w:rPr>
          <w:rFonts w:ascii="Arial" w:hAnsi="Arial" w:cs="Arial"/>
        </w:rPr>
        <w:t xml:space="preserve"> are unlikely to comply</w:t>
      </w:r>
      <w:r w:rsidR="001500BD" w:rsidRPr="00E810AA">
        <w:rPr>
          <w:rFonts w:ascii="Arial" w:hAnsi="Arial" w:cs="Arial"/>
        </w:rPr>
        <w:t xml:space="preserve"> with space standards as set out in Nationally Described Space Standards</w:t>
      </w:r>
      <w:r w:rsidR="00C835C9">
        <w:rPr>
          <w:rFonts w:ascii="Arial" w:hAnsi="Arial" w:cs="Arial"/>
        </w:rPr>
        <w:t xml:space="preserve">.  This </w:t>
      </w:r>
      <w:r w:rsidR="001500BD" w:rsidRPr="00E810AA">
        <w:rPr>
          <w:rFonts w:ascii="Arial" w:hAnsi="Arial" w:cs="Arial"/>
        </w:rPr>
        <w:t>m</w:t>
      </w:r>
      <w:r w:rsidR="001E6012">
        <w:rPr>
          <w:rFonts w:ascii="Arial" w:hAnsi="Arial" w:cs="Arial"/>
        </w:rPr>
        <w:t>ean</w:t>
      </w:r>
      <w:r w:rsidR="00C835C9">
        <w:rPr>
          <w:rFonts w:ascii="Arial" w:hAnsi="Arial" w:cs="Arial"/>
        </w:rPr>
        <w:t>s</w:t>
      </w:r>
      <w:r w:rsidR="001500BD" w:rsidRPr="00E810AA">
        <w:rPr>
          <w:rFonts w:ascii="Arial" w:hAnsi="Arial" w:cs="Arial"/>
        </w:rPr>
        <w:t xml:space="preserve"> that residents are living in small bedrooms and sharing bathroom and small kitchen </w:t>
      </w:r>
      <w:r w:rsidR="001E6012">
        <w:rPr>
          <w:rFonts w:ascii="Arial" w:hAnsi="Arial" w:cs="Arial"/>
        </w:rPr>
        <w:t>facilities often with</w:t>
      </w:r>
      <w:r w:rsidR="001500BD" w:rsidRPr="00E810AA">
        <w:rPr>
          <w:rFonts w:ascii="Arial" w:hAnsi="Arial" w:cs="Arial"/>
        </w:rPr>
        <w:t xml:space="preserve"> very limited and </w:t>
      </w:r>
      <w:r w:rsidR="00C835C9" w:rsidRPr="00E810AA">
        <w:rPr>
          <w:rFonts w:ascii="Arial" w:hAnsi="Arial" w:cs="Arial"/>
        </w:rPr>
        <w:t>poor-quality</w:t>
      </w:r>
      <w:r w:rsidR="001500BD" w:rsidRPr="00E810AA">
        <w:rPr>
          <w:rFonts w:ascii="Arial" w:hAnsi="Arial" w:cs="Arial"/>
        </w:rPr>
        <w:t xml:space="preserve"> outdoor amenity space.  </w:t>
      </w:r>
    </w:p>
    <w:p w14:paraId="253BE37C" w14:textId="77777777" w:rsidR="002411ED" w:rsidRPr="00E810AA" w:rsidRDefault="002411ED" w:rsidP="002411ED">
      <w:pPr>
        <w:pStyle w:val="ListParagraph"/>
        <w:spacing w:after="0" w:line="300" w:lineRule="atLeast"/>
        <w:ind w:left="709"/>
        <w:contextualSpacing w:val="0"/>
        <w:rPr>
          <w:rFonts w:ascii="Arial" w:hAnsi="Arial" w:cs="Arial"/>
        </w:rPr>
      </w:pPr>
    </w:p>
    <w:p w14:paraId="0592D5EE" w14:textId="650DDEC2" w:rsidR="001500BD" w:rsidRDefault="001500BD" w:rsidP="00A80448">
      <w:pPr>
        <w:pStyle w:val="ListParagraph"/>
        <w:numPr>
          <w:ilvl w:val="1"/>
          <w:numId w:val="43"/>
        </w:numPr>
        <w:spacing w:after="0" w:line="300" w:lineRule="atLeast"/>
        <w:ind w:left="709" w:hanging="710"/>
        <w:contextualSpacing w:val="0"/>
        <w:rPr>
          <w:rFonts w:ascii="Arial" w:hAnsi="Arial" w:cs="Arial"/>
        </w:rPr>
      </w:pPr>
      <w:r w:rsidRPr="00174585">
        <w:rPr>
          <w:rFonts w:ascii="Arial" w:hAnsi="Arial" w:cs="Arial"/>
        </w:rPr>
        <w:t>Furthermore, Hyndburn</w:t>
      </w:r>
      <w:r w:rsidRPr="00E810AA">
        <w:rPr>
          <w:rFonts w:ascii="Arial" w:hAnsi="Arial" w:cs="Arial"/>
        </w:rPr>
        <w:t xml:space="preserve"> Housing Standards Team has received increasing numbers </w:t>
      </w:r>
      <w:r w:rsidR="00B639BF">
        <w:rPr>
          <w:rFonts w:ascii="Arial" w:hAnsi="Arial" w:cs="Arial"/>
        </w:rPr>
        <w:t xml:space="preserve">of </w:t>
      </w:r>
      <w:r w:rsidRPr="00E810AA">
        <w:rPr>
          <w:rFonts w:ascii="Arial" w:hAnsi="Arial" w:cs="Arial"/>
        </w:rPr>
        <w:t xml:space="preserve">complaints </w:t>
      </w:r>
      <w:r w:rsidR="00C835C9">
        <w:rPr>
          <w:rFonts w:ascii="Arial" w:hAnsi="Arial" w:cs="Arial"/>
        </w:rPr>
        <w:t xml:space="preserve">concerning </w:t>
      </w:r>
      <w:r w:rsidRPr="00E810AA">
        <w:rPr>
          <w:rFonts w:ascii="Arial" w:hAnsi="Arial" w:cs="Arial"/>
        </w:rPr>
        <w:t xml:space="preserve">housing disrepair. Almost all those complaints are related to private renting sector housing and HMOs. </w:t>
      </w:r>
    </w:p>
    <w:p w14:paraId="0E517ADF" w14:textId="77777777" w:rsidR="00174585" w:rsidRPr="00174585" w:rsidRDefault="00174585" w:rsidP="00174585">
      <w:pPr>
        <w:pStyle w:val="ListParagraph"/>
        <w:rPr>
          <w:rFonts w:ascii="Arial" w:hAnsi="Arial" w:cs="Arial"/>
        </w:rPr>
      </w:pPr>
    </w:p>
    <w:p w14:paraId="623D4E6C" w14:textId="77777777" w:rsidR="00174585" w:rsidRDefault="00174585" w:rsidP="00174585">
      <w:pPr>
        <w:pStyle w:val="ListParagraph"/>
        <w:spacing w:after="0" w:line="300" w:lineRule="atLeast"/>
        <w:ind w:left="709"/>
        <w:contextualSpacing w:val="0"/>
        <w:rPr>
          <w:rFonts w:ascii="Arial" w:hAnsi="Arial" w:cs="Arial"/>
        </w:rPr>
      </w:pPr>
    </w:p>
    <w:p w14:paraId="4E2D80A7" w14:textId="77777777" w:rsidR="00174585" w:rsidRDefault="00174585" w:rsidP="00174585">
      <w:pPr>
        <w:pStyle w:val="ListParagraph"/>
        <w:spacing w:after="0" w:line="300" w:lineRule="atLeast"/>
        <w:ind w:left="709"/>
        <w:contextualSpacing w:val="0"/>
        <w:rPr>
          <w:rFonts w:ascii="Arial" w:hAnsi="Arial" w:cs="Arial"/>
        </w:rPr>
      </w:pPr>
    </w:p>
    <w:p w14:paraId="21F87A64" w14:textId="77777777" w:rsidR="00B639BF" w:rsidRDefault="00B639BF" w:rsidP="00174585">
      <w:pPr>
        <w:pStyle w:val="ListParagraph"/>
        <w:spacing w:after="0" w:line="300" w:lineRule="atLeast"/>
        <w:ind w:left="709"/>
        <w:contextualSpacing w:val="0"/>
        <w:rPr>
          <w:rFonts w:ascii="Arial" w:hAnsi="Arial" w:cs="Arial"/>
        </w:rPr>
      </w:pPr>
    </w:p>
    <w:p w14:paraId="3788A90A" w14:textId="77777777" w:rsidR="00B639BF" w:rsidRDefault="00B639BF" w:rsidP="00174585">
      <w:pPr>
        <w:pStyle w:val="ListParagraph"/>
        <w:spacing w:after="0" w:line="300" w:lineRule="atLeast"/>
        <w:ind w:left="709"/>
        <w:contextualSpacing w:val="0"/>
        <w:rPr>
          <w:rFonts w:ascii="Arial" w:hAnsi="Arial" w:cs="Arial"/>
        </w:rPr>
      </w:pPr>
    </w:p>
    <w:p w14:paraId="24DC8DCE" w14:textId="77777777" w:rsidR="00B639BF" w:rsidRDefault="00B639BF" w:rsidP="00174585">
      <w:pPr>
        <w:pStyle w:val="ListParagraph"/>
        <w:spacing w:after="0" w:line="300" w:lineRule="atLeast"/>
        <w:ind w:left="709"/>
        <w:contextualSpacing w:val="0"/>
        <w:rPr>
          <w:rFonts w:ascii="Arial" w:hAnsi="Arial" w:cs="Arial"/>
        </w:rPr>
      </w:pPr>
    </w:p>
    <w:p w14:paraId="6E269C54" w14:textId="77777777" w:rsidR="00B639BF" w:rsidRDefault="00B639BF" w:rsidP="00174585">
      <w:pPr>
        <w:pStyle w:val="ListParagraph"/>
        <w:spacing w:after="0" w:line="300" w:lineRule="atLeast"/>
        <w:ind w:left="709"/>
        <w:contextualSpacing w:val="0"/>
        <w:rPr>
          <w:rFonts w:ascii="Arial" w:hAnsi="Arial" w:cs="Arial"/>
        </w:rPr>
      </w:pPr>
    </w:p>
    <w:p w14:paraId="20EF61B2" w14:textId="77777777" w:rsidR="00B639BF" w:rsidRDefault="00B639BF" w:rsidP="00174585">
      <w:pPr>
        <w:pStyle w:val="ListParagraph"/>
        <w:spacing w:after="0" w:line="300" w:lineRule="atLeast"/>
        <w:ind w:left="709"/>
        <w:contextualSpacing w:val="0"/>
        <w:rPr>
          <w:rFonts w:ascii="Arial" w:hAnsi="Arial" w:cs="Arial"/>
        </w:rPr>
      </w:pPr>
    </w:p>
    <w:p w14:paraId="4A7D2E38" w14:textId="77777777" w:rsidR="00B639BF" w:rsidRDefault="00B639BF" w:rsidP="00174585">
      <w:pPr>
        <w:pStyle w:val="ListParagraph"/>
        <w:spacing w:after="0" w:line="300" w:lineRule="atLeast"/>
        <w:ind w:left="709"/>
        <w:contextualSpacing w:val="0"/>
        <w:rPr>
          <w:rFonts w:ascii="Arial" w:hAnsi="Arial" w:cs="Arial"/>
        </w:rPr>
      </w:pPr>
    </w:p>
    <w:p w14:paraId="515B6AF6" w14:textId="77777777" w:rsidR="00B639BF" w:rsidRDefault="00B639BF" w:rsidP="00174585">
      <w:pPr>
        <w:pStyle w:val="ListParagraph"/>
        <w:spacing w:after="0" w:line="300" w:lineRule="atLeast"/>
        <w:ind w:left="709"/>
        <w:contextualSpacing w:val="0"/>
        <w:rPr>
          <w:rFonts w:ascii="Arial" w:hAnsi="Arial" w:cs="Arial"/>
        </w:rPr>
      </w:pPr>
    </w:p>
    <w:p w14:paraId="5410F880" w14:textId="77777777" w:rsidR="00B639BF" w:rsidRDefault="00B639BF" w:rsidP="00174585">
      <w:pPr>
        <w:pStyle w:val="ListParagraph"/>
        <w:spacing w:after="0" w:line="300" w:lineRule="atLeast"/>
        <w:ind w:left="709"/>
        <w:contextualSpacing w:val="0"/>
        <w:rPr>
          <w:rFonts w:ascii="Arial" w:hAnsi="Arial" w:cs="Arial"/>
        </w:rPr>
      </w:pPr>
    </w:p>
    <w:p w14:paraId="46ADE2E8" w14:textId="77777777" w:rsidR="00B639BF" w:rsidRDefault="00B639BF" w:rsidP="00174585">
      <w:pPr>
        <w:pStyle w:val="ListParagraph"/>
        <w:spacing w:after="0" w:line="300" w:lineRule="atLeast"/>
        <w:ind w:left="709"/>
        <w:contextualSpacing w:val="0"/>
        <w:rPr>
          <w:rFonts w:ascii="Arial" w:hAnsi="Arial" w:cs="Arial"/>
        </w:rPr>
      </w:pPr>
    </w:p>
    <w:p w14:paraId="0B125957" w14:textId="77777777" w:rsidR="00B639BF" w:rsidRDefault="00B639BF" w:rsidP="00174585">
      <w:pPr>
        <w:pStyle w:val="ListParagraph"/>
        <w:spacing w:after="0" w:line="300" w:lineRule="atLeast"/>
        <w:ind w:left="709"/>
        <w:contextualSpacing w:val="0"/>
        <w:rPr>
          <w:rFonts w:ascii="Arial" w:hAnsi="Arial" w:cs="Arial"/>
        </w:rPr>
      </w:pPr>
    </w:p>
    <w:p w14:paraId="69DC5E11" w14:textId="77777777" w:rsidR="00B639BF" w:rsidRDefault="00B639BF" w:rsidP="00174585">
      <w:pPr>
        <w:pStyle w:val="ListParagraph"/>
        <w:spacing w:after="0" w:line="300" w:lineRule="atLeast"/>
        <w:ind w:left="709"/>
        <w:contextualSpacing w:val="0"/>
        <w:rPr>
          <w:rFonts w:ascii="Arial" w:hAnsi="Arial" w:cs="Arial"/>
        </w:rPr>
      </w:pPr>
    </w:p>
    <w:p w14:paraId="1D988D12" w14:textId="6A4F073F" w:rsidR="00B639BF" w:rsidRPr="00B639BF" w:rsidRDefault="00B639BF" w:rsidP="00B639BF">
      <w:pPr>
        <w:ind w:left="709"/>
        <w:contextualSpacing/>
        <w:rPr>
          <w:rFonts w:ascii="Arial" w:hAnsi="Arial" w:cs="Arial"/>
          <w:b/>
          <w:bCs/>
        </w:rPr>
      </w:pPr>
      <w:r w:rsidRPr="00B639BF">
        <w:rPr>
          <w:rFonts w:ascii="Arial" w:hAnsi="Arial" w:cs="Arial"/>
          <w:b/>
          <w:bCs/>
        </w:rPr>
        <w:lastRenderedPageBreak/>
        <w:t>Table 8.  Hyndburn Housing Disrepair Complaints</w:t>
      </w:r>
      <w:r>
        <w:rPr>
          <w:rFonts w:ascii="Arial" w:hAnsi="Arial" w:cs="Arial"/>
          <w:b/>
          <w:bCs/>
        </w:rPr>
        <w:t xml:space="preserve"> (</w:t>
      </w:r>
      <w:r w:rsidRPr="00B639BF">
        <w:rPr>
          <w:rFonts w:ascii="Arial" w:hAnsi="Arial" w:cs="Arial"/>
          <w:b/>
          <w:bCs/>
        </w:rPr>
        <w:t>Source: HBC Housing Standards, March 2026</w:t>
      </w:r>
      <w:r>
        <w:rPr>
          <w:rFonts w:ascii="Arial" w:hAnsi="Arial" w:cs="Arial"/>
          <w:b/>
          <w:bCs/>
        </w:rPr>
        <w:t>)</w:t>
      </w:r>
      <w:r w:rsidRPr="00B639BF">
        <w:rPr>
          <w:rFonts w:ascii="Arial" w:hAnsi="Arial" w:cs="Arial"/>
          <w:b/>
          <w:bCs/>
        </w:rPr>
        <w:t xml:space="preserve">  </w:t>
      </w:r>
    </w:p>
    <w:p w14:paraId="153F55D9" w14:textId="1DEF58A7" w:rsidR="001500BD" w:rsidRPr="00E810AA" w:rsidRDefault="00174585" w:rsidP="00174585">
      <w:pPr>
        <w:pStyle w:val="ListParagraph"/>
        <w:spacing w:after="0" w:line="300" w:lineRule="atLeast"/>
        <w:ind w:left="709"/>
        <w:contextualSpacing w:val="0"/>
        <w:rPr>
          <w:rFonts w:ascii="Arial" w:hAnsi="Arial" w:cs="Arial"/>
        </w:rPr>
      </w:pPr>
      <w:r w:rsidRPr="00174585">
        <w:rPr>
          <w:noProof/>
        </w:rPr>
        <w:drawing>
          <wp:inline distT="0" distB="0" distL="0" distR="0" wp14:anchorId="146E32C6" wp14:editId="63BB933E">
            <wp:extent cx="5242560" cy="4922547"/>
            <wp:effectExtent l="0" t="0" r="0" b="0"/>
            <wp:docPr id="3862665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7955" cy="4927613"/>
                    </a:xfrm>
                    <a:prstGeom prst="rect">
                      <a:avLst/>
                    </a:prstGeom>
                    <a:noFill/>
                    <a:ln>
                      <a:noFill/>
                    </a:ln>
                  </pic:spPr>
                </pic:pic>
              </a:graphicData>
            </a:graphic>
          </wp:inline>
        </w:drawing>
      </w:r>
    </w:p>
    <w:p w14:paraId="0D61D117" w14:textId="77777777" w:rsidR="002B41DE" w:rsidRPr="00DE6AE2" w:rsidRDefault="002B41DE" w:rsidP="00DE6AE2">
      <w:pPr>
        <w:spacing w:after="0" w:line="300" w:lineRule="atLeast"/>
        <w:rPr>
          <w:rFonts w:ascii="Arial" w:hAnsi="Arial" w:cs="Arial"/>
        </w:rPr>
      </w:pPr>
    </w:p>
    <w:p w14:paraId="7C9F0A83" w14:textId="2028A6F7" w:rsidR="001500BD" w:rsidRDefault="00852BD6" w:rsidP="00A80448">
      <w:pPr>
        <w:pStyle w:val="ListParagraph"/>
        <w:numPr>
          <w:ilvl w:val="1"/>
          <w:numId w:val="43"/>
        </w:numPr>
        <w:spacing w:after="0" w:line="300" w:lineRule="atLeast"/>
        <w:ind w:left="709" w:hanging="710"/>
        <w:contextualSpacing w:val="0"/>
        <w:rPr>
          <w:rFonts w:ascii="Arial" w:hAnsi="Arial" w:cs="Arial"/>
        </w:rPr>
      </w:pPr>
      <w:r>
        <w:rPr>
          <w:rFonts w:ascii="Arial" w:hAnsi="Arial" w:cs="Arial"/>
        </w:rPr>
        <w:t>Table 8</w:t>
      </w:r>
      <w:r w:rsidR="001500BD" w:rsidRPr="00E810AA">
        <w:rPr>
          <w:rFonts w:ascii="Arial" w:hAnsi="Arial" w:cs="Arial"/>
        </w:rPr>
        <w:t xml:space="preserve"> provides an overview o</w:t>
      </w:r>
      <w:r w:rsidR="00B639BF">
        <w:rPr>
          <w:rFonts w:ascii="Arial" w:hAnsi="Arial" w:cs="Arial"/>
        </w:rPr>
        <w:t>f</w:t>
      </w:r>
      <w:r w:rsidR="001500BD" w:rsidRPr="00E810AA">
        <w:rPr>
          <w:rFonts w:ascii="Arial" w:hAnsi="Arial" w:cs="Arial"/>
        </w:rPr>
        <w:t xml:space="preserve"> the number and distribution of the housing disrepair complaints within the Borough </w:t>
      </w:r>
      <w:r w:rsidR="001500BD" w:rsidRPr="00850765">
        <w:rPr>
          <w:rFonts w:ascii="Arial" w:hAnsi="Arial" w:cs="Arial"/>
        </w:rPr>
        <w:t>between 2021 and 202</w:t>
      </w:r>
      <w:r w:rsidR="00850765" w:rsidRPr="00850765">
        <w:rPr>
          <w:rFonts w:ascii="Arial" w:hAnsi="Arial" w:cs="Arial"/>
        </w:rPr>
        <w:t>5</w:t>
      </w:r>
      <w:r w:rsidR="001500BD" w:rsidRPr="00E810AA">
        <w:rPr>
          <w:rFonts w:ascii="Arial" w:hAnsi="Arial" w:cs="Arial"/>
        </w:rPr>
        <w:t>. Although the data within this figure does not differentiate the private rented houses and HMOs, it is still obvious that</w:t>
      </w:r>
      <w:r>
        <w:rPr>
          <w:rFonts w:ascii="Arial" w:hAnsi="Arial" w:cs="Arial"/>
        </w:rPr>
        <w:t xml:space="preserve"> the number of complaints </w:t>
      </w:r>
      <w:r w:rsidR="00B639BF">
        <w:rPr>
          <w:rFonts w:ascii="Arial" w:hAnsi="Arial" w:cs="Arial"/>
        </w:rPr>
        <w:t>has increased and</w:t>
      </w:r>
      <w:r>
        <w:rPr>
          <w:rFonts w:ascii="Arial" w:hAnsi="Arial" w:cs="Arial"/>
        </w:rPr>
        <w:t xml:space="preserve"> there have been complaints in every Ward</w:t>
      </w:r>
      <w:r w:rsidR="001500BD" w:rsidRPr="00E810AA">
        <w:rPr>
          <w:rFonts w:ascii="Arial" w:hAnsi="Arial" w:cs="Arial"/>
        </w:rPr>
        <w:t xml:space="preserve">.  </w:t>
      </w:r>
    </w:p>
    <w:p w14:paraId="7C633567" w14:textId="77777777" w:rsidR="002B41DE" w:rsidRPr="00E810AA" w:rsidRDefault="002B41DE" w:rsidP="002B41DE">
      <w:pPr>
        <w:pStyle w:val="ListParagraph"/>
        <w:spacing w:after="0" w:line="300" w:lineRule="atLeast"/>
        <w:ind w:left="709"/>
        <w:contextualSpacing w:val="0"/>
        <w:rPr>
          <w:rFonts w:ascii="Arial" w:hAnsi="Arial" w:cs="Arial"/>
        </w:rPr>
      </w:pPr>
    </w:p>
    <w:p w14:paraId="0504AD54" w14:textId="77777777" w:rsidR="004D0019" w:rsidRPr="00DE6AE2" w:rsidRDefault="004D0019" w:rsidP="00DE6AE2">
      <w:pPr>
        <w:spacing w:after="0" w:line="300" w:lineRule="atLeast"/>
        <w:ind w:firstLine="709"/>
        <w:rPr>
          <w:rFonts w:ascii="Arial" w:hAnsi="Arial" w:cs="Arial"/>
          <w:b/>
        </w:rPr>
      </w:pPr>
      <w:r w:rsidRPr="00DE6AE2">
        <w:rPr>
          <w:rFonts w:ascii="Arial" w:hAnsi="Arial" w:cs="Arial"/>
          <w:b/>
        </w:rPr>
        <w:t xml:space="preserve">Impact on the private renting sector </w:t>
      </w:r>
    </w:p>
    <w:p w14:paraId="1F7A1B33" w14:textId="77777777" w:rsidR="002B41DE" w:rsidRPr="00E810AA" w:rsidRDefault="002B41DE" w:rsidP="002B41DE">
      <w:pPr>
        <w:pStyle w:val="ListParagraph"/>
        <w:spacing w:after="0" w:line="300" w:lineRule="atLeast"/>
        <w:ind w:left="1276"/>
        <w:contextualSpacing w:val="0"/>
        <w:rPr>
          <w:rFonts w:ascii="Arial" w:hAnsi="Arial" w:cs="Arial"/>
        </w:rPr>
      </w:pPr>
    </w:p>
    <w:p w14:paraId="2A724966" w14:textId="529A17B6" w:rsidR="00D61D9D" w:rsidRDefault="005C5ACD"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 xml:space="preserve">As already discussed, </w:t>
      </w:r>
      <w:r w:rsidR="007F79E3" w:rsidRPr="00E810AA">
        <w:rPr>
          <w:rFonts w:ascii="Arial" w:hAnsi="Arial" w:cs="Arial"/>
        </w:rPr>
        <w:t>HMOs offer accommodation that is typically cheaper than other private rental options and o</w:t>
      </w:r>
      <w:r w:rsidR="00B76F5B" w:rsidRPr="00E810AA">
        <w:rPr>
          <w:rFonts w:ascii="Arial" w:hAnsi="Arial" w:cs="Arial"/>
        </w:rPr>
        <w:t xml:space="preserve">ften house </w:t>
      </w:r>
      <w:r w:rsidR="00085A56" w:rsidRPr="00E810AA">
        <w:rPr>
          <w:rFonts w:ascii="Arial" w:hAnsi="Arial" w:cs="Arial"/>
        </w:rPr>
        <w:t xml:space="preserve">socially/economically </w:t>
      </w:r>
      <w:r w:rsidR="00B76F5B" w:rsidRPr="00E810AA">
        <w:rPr>
          <w:rFonts w:ascii="Arial" w:hAnsi="Arial" w:cs="Arial"/>
        </w:rPr>
        <w:t>vulnerable</w:t>
      </w:r>
      <w:r w:rsidR="00DF6828" w:rsidRPr="00E810AA">
        <w:rPr>
          <w:rFonts w:ascii="Arial" w:hAnsi="Arial" w:cs="Arial"/>
        </w:rPr>
        <w:t xml:space="preserve"> </w:t>
      </w:r>
      <w:r w:rsidR="00B76F5B" w:rsidRPr="00E810AA">
        <w:rPr>
          <w:rFonts w:ascii="Arial" w:hAnsi="Arial" w:cs="Arial"/>
        </w:rPr>
        <w:t xml:space="preserve">tenants. </w:t>
      </w:r>
      <w:r w:rsidR="00586264" w:rsidRPr="00E810AA">
        <w:rPr>
          <w:rFonts w:ascii="Arial" w:hAnsi="Arial" w:cs="Arial"/>
        </w:rPr>
        <w:t>In recent years, Hyndburn has witnessed a significant increas</w:t>
      </w:r>
      <w:r w:rsidR="00A36CAE" w:rsidRPr="00E810AA">
        <w:rPr>
          <w:rFonts w:ascii="Arial" w:hAnsi="Arial" w:cs="Arial"/>
        </w:rPr>
        <w:t>e of both large and small HMOs</w:t>
      </w:r>
      <w:r w:rsidR="002A4BEE" w:rsidRPr="00E810AA">
        <w:rPr>
          <w:rFonts w:ascii="Arial" w:hAnsi="Arial" w:cs="Arial"/>
        </w:rPr>
        <w:t xml:space="preserve">, which has potentially </w:t>
      </w:r>
      <w:r w:rsidR="006663A9" w:rsidRPr="00E810AA">
        <w:rPr>
          <w:rFonts w:ascii="Arial" w:hAnsi="Arial" w:cs="Arial"/>
        </w:rPr>
        <w:t>been taking up</w:t>
      </w:r>
      <w:r w:rsidR="002B5EB6" w:rsidRPr="00E810AA">
        <w:rPr>
          <w:rFonts w:ascii="Arial" w:hAnsi="Arial" w:cs="Arial"/>
        </w:rPr>
        <w:t xml:space="preserve"> a large proportion of the vacant dwellings, but </w:t>
      </w:r>
      <w:r w:rsidR="002D41B1">
        <w:rPr>
          <w:rFonts w:ascii="Arial" w:hAnsi="Arial" w:cs="Arial"/>
        </w:rPr>
        <w:t xml:space="preserve">may </w:t>
      </w:r>
      <w:r w:rsidR="002B5EB6" w:rsidRPr="00E810AA">
        <w:rPr>
          <w:rFonts w:ascii="Arial" w:hAnsi="Arial" w:cs="Arial"/>
        </w:rPr>
        <w:t>als</w:t>
      </w:r>
      <w:r w:rsidR="00F3158F" w:rsidRPr="00E810AA">
        <w:rPr>
          <w:rFonts w:ascii="Arial" w:hAnsi="Arial" w:cs="Arial"/>
        </w:rPr>
        <w:t xml:space="preserve">o </w:t>
      </w:r>
      <w:r w:rsidR="00954707" w:rsidRPr="00E810AA">
        <w:rPr>
          <w:rFonts w:ascii="Arial" w:hAnsi="Arial" w:cs="Arial"/>
        </w:rPr>
        <w:t xml:space="preserve">have </w:t>
      </w:r>
      <w:r w:rsidR="00F3158F" w:rsidRPr="00E810AA">
        <w:rPr>
          <w:rFonts w:ascii="Arial" w:hAnsi="Arial" w:cs="Arial"/>
        </w:rPr>
        <w:t>start</w:t>
      </w:r>
      <w:r w:rsidR="007B5B85" w:rsidRPr="00E810AA">
        <w:rPr>
          <w:rFonts w:ascii="Arial" w:hAnsi="Arial" w:cs="Arial"/>
        </w:rPr>
        <w:t>ed</w:t>
      </w:r>
      <w:r w:rsidR="00F3158F" w:rsidRPr="00E810AA">
        <w:rPr>
          <w:rFonts w:ascii="Arial" w:hAnsi="Arial" w:cs="Arial"/>
        </w:rPr>
        <w:t xml:space="preserve"> driving up the rents of other type of properties within the private renting sector. </w:t>
      </w:r>
    </w:p>
    <w:p w14:paraId="7D7687AC" w14:textId="77777777" w:rsidR="002B41DE" w:rsidRPr="00E810AA" w:rsidRDefault="002B41DE" w:rsidP="002B41DE">
      <w:pPr>
        <w:pStyle w:val="ListParagraph"/>
        <w:spacing w:after="0" w:line="300" w:lineRule="atLeast"/>
        <w:ind w:left="709"/>
        <w:contextualSpacing w:val="0"/>
        <w:rPr>
          <w:rFonts w:ascii="Arial" w:hAnsi="Arial" w:cs="Arial"/>
        </w:rPr>
      </w:pPr>
    </w:p>
    <w:p w14:paraId="748793B0" w14:textId="7C8C93FB" w:rsidR="001E6012" w:rsidRDefault="00FC1AB9" w:rsidP="00A80448">
      <w:pPr>
        <w:pStyle w:val="ListParagraph"/>
        <w:numPr>
          <w:ilvl w:val="1"/>
          <w:numId w:val="43"/>
        </w:numPr>
        <w:spacing w:after="0" w:line="300" w:lineRule="atLeast"/>
        <w:ind w:left="709" w:hanging="710"/>
        <w:contextualSpacing w:val="0"/>
        <w:rPr>
          <w:rFonts w:ascii="Arial" w:hAnsi="Arial" w:cs="Arial"/>
        </w:rPr>
      </w:pPr>
      <w:r w:rsidRPr="002E3E73">
        <w:rPr>
          <w:rFonts w:ascii="Arial" w:hAnsi="Arial" w:cs="Arial"/>
        </w:rPr>
        <w:t xml:space="preserve">According to the house price data from the Office of National Statistics (ONS), the average monthly private rent in </w:t>
      </w:r>
      <w:r w:rsidR="00123F42" w:rsidRPr="002E3E73">
        <w:rPr>
          <w:rFonts w:ascii="Arial" w:hAnsi="Arial" w:cs="Arial"/>
        </w:rPr>
        <w:t>Hyndburn was £</w:t>
      </w:r>
      <w:r w:rsidR="002D41B1" w:rsidRPr="002E3E73">
        <w:rPr>
          <w:rFonts w:ascii="Arial" w:hAnsi="Arial" w:cs="Arial"/>
        </w:rPr>
        <w:t>632</w:t>
      </w:r>
      <w:r w:rsidR="00123F42" w:rsidRPr="002E3E73">
        <w:rPr>
          <w:rFonts w:ascii="Arial" w:hAnsi="Arial" w:cs="Arial"/>
        </w:rPr>
        <w:t xml:space="preserve"> in </w:t>
      </w:r>
      <w:r w:rsidR="002E3E73" w:rsidRPr="002E3E73">
        <w:rPr>
          <w:rFonts w:ascii="Arial" w:hAnsi="Arial" w:cs="Arial"/>
        </w:rPr>
        <w:t>December</w:t>
      </w:r>
      <w:r w:rsidR="002D41B1" w:rsidRPr="002E3E73">
        <w:rPr>
          <w:rFonts w:ascii="Arial" w:hAnsi="Arial" w:cs="Arial"/>
        </w:rPr>
        <w:t xml:space="preserve"> 202</w:t>
      </w:r>
      <w:r w:rsidR="002E3E73" w:rsidRPr="002E3E73">
        <w:rPr>
          <w:rFonts w:ascii="Arial" w:hAnsi="Arial" w:cs="Arial"/>
        </w:rPr>
        <w:t>5</w:t>
      </w:r>
      <w:r w:rsidR="002D41B1" w:rsidRPr="002E3E73">
        <w:rPr>
          <w:rFonts w:ascii="Arial" w:hAnsi="Arial" w:cs="Arial"/>
        </w:rPr>
        <w:t xml:space="preserve">. This is an </w:t>
      </w:r>
      <w:r w:rsidR="002D41B1" w:rsidRPr="002E3E73">
        <w:rPr>
          <w:rFonts w:ascii="Arial" w:hAnsi="Arial" w:cs="Arial"/>
        </w:rPr>
        <w:lastRenderedPageBreak/>
        <w:t xml:space="preserve">increase from </w:t>
      </w:r>
      <w:r w:rsidR="00123F42" w:rsidRPr="002E3E73">
        <w:rPr>
          <w:rFonts w:ascii="Arial" w:hAnsi="Arial" w:cs="Arial"/>
        </w:rPr>
        <w:t>£</w:t>
      </w:r>
      <w:r w:rsidR="002E3E73" w:rsidRPr="002E3E73">
        <w:rPr>
          <w:rFonts w:ascii="Arial" w:hAnsi="Arial" w:cs="Arial"/>
        </w:rPr>
        <w:t>599</w:t>
      </w:r>
      <w:r w:rsidR="00123F42" w:rsidRPr="002E3E73">
        <w:rPr>
          <w:rFonts w:ascii="Arial" w:hAnsi="Arial" w:cs="Arial"/>
        </w:rPr>
        <w:t xml:space="preserve"> in </w:t>
      </w:r>
      <w:r w:rsidR="002E3E73" w:rsidRPr="002E3E73">
        <w:rPr>
          <w:rFonts w:ascii="Arial" w:hAnsi="Arial" w:cs="Arial"/>
        </w:rPr>
        <w:t>December</w:t>
      </w:r>
      <w:r w:rsidR="002D41B1" w:rsidRPr="002E3E73">
        <w:rPr>
          <w:rFonts w:ascii="Arial" w:hAnsi="Arial" w:cs="Arial"/>
        </w:rPr>
        <w:t xml:space="preserve"> 202</w:t>
      </w:r>
      <w:r w:rsidR="002E3E73" w:rsidRPr="002E3E73">
        <w:rPr>
          <w:rFonts w:ascii="Arial" w:hAnsi="Arial" w:cs="Arial"/>
        </w:rPr>
        <w:t>4</w:t>
      </w:r>
      <w:r w:rsidR="00123F42" w:rsidRPr="002E3E73">
        <w:rPr>
          <w:rFonts w:ascii="Arial" w:hAnsi="Arial" w:cs="Arial"/>
        </w:rPr>
        <w:t xml:space="preserve">, a </w:t>
      </w:r>
      <w:r w:rsidR="002E3E73" w:rsidRPr="002E3E73">
        <w:rPr>
          <w:rFonts w:ascii="Arial" w:hAnsi="Arial" w:cs="Arial"/>
        </w:rPr>
        <w:t>5.5</w:t>
      </w:r>
      <w:r w:rsidR="00123F42" w:rsidRPr="002E3E73">
        <w:rPr>
          <w:rFonts w:ascii="Arial" w:hAnsi="Arial" w:cs="Arial"/>
        </w:rPr>
        <w:t>% rise</w:t>
      </w:r>
      <w:r w:rsidR="002E3E73" w:rsidRPr="002E3E73">
        <w:rPr>
          <w:rFonts w:ascii="Arial" w:hAnsi="Arial" w:cs="Arial"/>
        </w:rPr>
        <w:t>.  The annual % rise in rents across England was 3.9%.  In December 2023</w:t>
      </w:r>
      <w:r w:rsidR="00B639BF">
        <w:rPr>
          <w:rFonts w:ascii="Arial" w:hAnsi="Arial" w:cs="Arial"/>
        </w:rPr>
        <w:t>,</w:t>
      </w:r>
      <w:r w:rsidR="002E3E73" w:rsidRPr="002E3E73">
        <w:rPr>
          <w:rFonts w:ascii="Arial" w:hAnsi="Arial" w:cs="Arial"/>
        </w:rPr>
        <w:t xml:space="preserve"> the average monthly private rent in Hyndburn was </w:t>
      </w:r>
      <w:r w:rsidR="002D41B1" w:rsidRPr="002E3E73">
        <w:rPr>
          <w:rFonts w:ascii="Arial" w:hAnsi="Arial" w:cs="Arial"/>
        </w:rPr>
        <w:t>£53</w:t>
      </w:r>
      <w:r w:rsidR="002E3E73" w:rsidRPr="002E3E73">
        <w:rPr>
          <w:rFonts w:ascii="Arial" w:hAnsi="Arial" w:cs="Arial"/>
        </w:rPr>
        <w:t>3.  Therefore, rents have increased over a two-year period by 18.57</w:t>
      </w:r>
      <w:r w:rsidR="002D41B1" w:rsidRPr="002E3E73">
        <w:rPr>
          <w:rFonts w:ascii="Arial" w:hAnsi="Arial" w:cs="Arial"/>
        </w:rPr>
        <w:t>%</w:t>
      </w:r>
      <w:r w:rsidR="002E3E73" w:rsidRPr="002E3E73">
        <w:rPr>
          <w:rFonts w:ascii="Arial" w:hAnsi="Arial" w:cs="Arial"/>
        </w:rPr>
        <w:t>.</w:t>
      </w:r>
      <w:r w:rsidR="00123F42" w:rsidRPr="00E810AA">
        <w:rPr>
          <w:rStyle w:val="FootnoteReference"/>
          <w:rFonts w:ascii="Arial" w:hAnsi="Arial" w:cs="Arial"/>
        </w:rPr>
        <w:footnoteReference w:id="11"/>
      </w:r>
      <w:r w:rsidR="002E3E73" w:rsidRPr="002E3E73">
        <w:rPr>
          <w:rFonts w:ascii="Arial" w:hAnsi="Arial" w:cs="Arial"/>
        </w:rPr>
        <w:t xml:space="preserve">  </w:t>
      </w:r>
    </w:p>
    <w:p w14:paraId="26090D25" w14:textId="77777777" w:rsidR="00707D8D" w:rsidRPr="00707D8D" w:rsidRDefault="00707D8D" w:rsidP="00707D8D">
      <w:pPr>
        <w:pStyle w:val="ListParagraph"/>
        <w:rPr>
          <w:rFonts w:ascii="Arial" w:hAnsi="Arial" w:cs="Arial"/>
        </w:rPr>
      </w:pPr>
    </w:p>
    <w:p w14:paraId="7726C965" w14:textId="21C78202" w:rsidR="00707D8D" w:rsidRDefault="00707D8D" w:rsidP="00A80448">
      <w:pPr>
        <w:pStyle w:val="ListParagraph"/>
        <w:numPr>
          <w:ilvl w:val="1"/>
          <w:numId w:val="43"/>
        </w:numPr>
        <w:spacing w:after="0" w:line="300" w:lineRule="atLeast"/>
        <w:ind w:left="709" w:hanging="710"/>
        <w:contextualSpacing w:val="0"/>
        <w:rPr>
          <w:rFonts w:ascii="Arial" w:hAnsi="Arial" w:cs="Arial"/>
        </w:rPr>
      </w:pPr>
      <w:r>
        <w:rPr>
          <w:rFonts w:ascii="Arial" w:hAnsi="Arial" w:cs="Arial"/>
        </w:rPr>
        <w:t xml:space="preserve">HMO accommodation is </w:t>
      </w:r>
      <w:r w:rsidRPr="00707D8D">
        <w:rPr>
          <w:rFonts w:ascii="Arial" w:hAnsi="Arial" w:cs="Arial"/>
        </w:rPr>
        <w:t>a form of low-cost housing, particularly for younger people and people on low incomes. They also provide flexible accommodation for people needing short-term housing requirements.  This includes people in-between properties, people employed in short-term contracts and people who are saving to purchase a home.</w:t>
      </w:r>
      <w:r>
        <w:rPr>
          <w:rFonts w:ascii="Arial" w:hAnsi="Arial" w:cs="Arial"/>
        </w:rPr>
        <w:t xml:space="preserve">  Therefore, the rents charged for a room in a HMO should be less than the rent charged in a normal residential dwelling.  From information provided by the ONS in January 2026</w:t>
      </w:r>
      <w:r w:rsidR="00EF09BF">
        <w:rPr>
          <w:rFonts w:ascii="Arial" w:hAnsi="Arial" w:cs="Arial"/>
        </w:rPr>
        <w:t>,</w:t>
      </w:r>
      <w:r>
        <w:rPr>
          <w:rFonts w:ascii="Arial" w:hAnsi="Arial" w:cs="Arial"/>
        </w:rPr>
        <w:t xml:space="preserve"> the mean average rent in Hyndburn for properties is as follows.</w:t>
      </w:r>
    </w:p>
    <w:p w14:paraId="534E2357" w14:textId="77777777" w:rsidR="00707D8D" w:rsidRPr="00707D8D" w:rsidRDefault="00707D8D" w:rsidP="00707D8D">
      <w:pPr>
        <w:pStyle w:val="ListParagraph"/>
        <w:rPr>
          <w:rFonts w:ascii="Arial" w:hAnsi="Arial" w:cs="Arial"/>
        </w:rPr>
      </w:pPr>
    </w:p>
    <w:p w14:paraId="3F524C83" w14:textId="5B573D99" w:rsidR="00707D8D" w:rsidRDefault="00707D8D" w:rsidP="00707D8D">
      <w:pPr>
        <w:pStyle w:val="ListParagraph"/>
        <w:numPr>
          <w:ilvl w:val="0"/>
          <w:numId w:val="37"/>
        </w:numPr>
        <w:spacing w:after="0" w:line="300" w:lineRule="atLeast"/>
        <w:contextualSpacing w:val="0"/>
        <w:rPr>
          <w:rFonts w:ascii="Arial" w:hAnsi="Arial" w:cs="Arial"/>
        </w:rPr>
      </w:pPr>
      <w:r>
        <w:rPr>
          <w:rFonts w:ascii="Arial" w:hAnsi="Arial" w:cs="Arial"/>
        </w:rPr>
        <w:t>1 bedroom - £473</w:t>
      </w:r>
    </w:p>
    <w:p w14:paraId="6908E997" w14:textId="69BC25A5" w:rsidR="00707D8D" w:rsidRDefault="00707D8D" w:rsidP="00707D8D">
      <w:pPr>
        <w:pStyle w:val="ListParagraph"/>
        <w:numPr>
          <w:ilvl w:val="0"/>
          <w:numId w:val="37"/>
        </w:numPr>
        <w:spacing w:after="0" w:line="300" w:lineRule="atLeast"/>
        <w:contextualSpacing w:val="0"/>
        <w:rPr>
          <w:rFonts w:ascii="Arial" w:hAnsi="Arial" w:cs="Arial"/>
        </w:rPr>
      </w:pPr>
      <w:r>
        <w:rPr>
          <w:rFonts w:ascii="Arial" w:hAnsi="Arial" w:cs="Arial"/>
        </w:rPr>
        <w:t>2 bedroom - £605</w:t>
      </w:r>
    </w:p>
    <w:p w14:paraId="159E7373" w14:textId="6CF67898" w:rsidR="00707D8D" w:rsidRDefault="00707D8D" w:rsidP="00707D8D">
      <w:pPr>
        <w:pStyle w:val="ListParagraph"/>
        <w:numPr>
          <w:ilvl w:val="0"/>
          <w:numId w:val="37"/>
        </w:numPr>
        <w:spacing w:after="0" w:line="300" w:lineRule="atLeast"/>
        <w:contextualSpacing w:val="0"/>
        <w:rPr>
          <w:rFonts w:ascii="Arial" w:hAnsi="Arial" w:cs="Arial"/>
        </w:rPr>
      </w:pPr>
      <w:r>
        <w:rPr>
          <w:rFonts w:ascii="Arial" w:hAnsi="Arial" w:cs="Arial"/>
        </w:rPr>
        <w:t>3 bedroom - £710</w:t>
      </w:r>
    </w:p>
    <w:p w14:paraId="504A206F" w14:textId="47C88376" w:rsidR="00707D8D" w:rsidRDefault="00707D8D" w:rsidP="00707D8D">
      <w:pPr>
        <w:pStyle w:val="ListParagraph"/>
        <w:numPr>
          <w:ilvl w:val="0"/>
          <w:numId w:val="37"/>
        </w:numPr>
        <w:spacing w:after="0" w:line="300" w:lineRule="atLeast"/>
        <w:contextualSpacing w:val="0"/>
        <w:rPr>
          <w:rFonts w:ascii="Arial" w:hAnsi="Arial" w:cs="Arial"/>
        </w:rPr>
      </w:pPr>
      <w:r>
        <w:rPr>
          <w:rFonts w:ascii="Arial" w:hAnsi="Arial" w:cs="Arial"/>
        </w:rPr>
        <w:t>4 bedroom - £926</w:t>
      </w:r>
    </w:p>
    <w:p w14:paraId="1ED1BD39" w14:textId="77777777" w:rsidR="00707D8D" w:rsidRDefault="00707D8D" w:rsidP="00707D8D">
      <w:pPr>
        <w:spacing w:after="0" w:line="300" w:lineRule="atLeast"/>
        <w:rPr>
          <w:rFonts w:ascii="Arial" w:hAnsi="Arial" w:cs="Arial"/>
        </w:rPr>
      </w:pPr>
    </w:p>
    <w:p w14:paraId="72093E83" w14:textId="5607EB67" w:rsidR="00707D8D" w:rsidRPr="00707D8D" w:rsidRDefault="00C44624" w:rsidP="00C44624">
      <w:pPr>
        <w:spacing w:after="0" w:line="300" w:lineRule="atLeast"/>
        <w:ind w:left="709"/>
        <w:rPr>
          <w:rFonts w:ascii="Arial" w:hAnsi="Arial" w:cs="Arial"/>
        </w:rPr>
      </w:pPr>
      <w:r>
        <w:rPr>
          <w:rFonts w:ascii="Arial" w:hAnsi="Arial" w:cs="Arial"/>
        </w:rPr>
        <w:t xml:space="preserve">Given the low wage economy of the Borough, lower cost housing may be the only way that some can afford to access the open market housing market. </w:t>
      </w:r>
    </w:p>
    <w:p w14:paraId="1039B3E3" w14:textId="3E0D69B0" w:rsidR="001E6012" w:rsidRDefault="001E6012" w:rsidP="001E6012">
      <w:pPr>
        <w:pStyle w:val="ListParagraph"/>
        <w:spacing w:after="0" w:line="300" w:lineRule="atLeast"/>
        <w:ind w:left="709" w:hanging="851"/>
        <w:contextualSpacing w:val="0"/>
        <w:jc w:val="center"/>
        <w:rPr>
          <w:rFonts w:ascii="Arial" w:hAnsi="Arial" w:cs="Arial"/>
        </w:rPr>
      </w:pPr>
    </w:p>
    <w:p w14:paraId="5A8320EB" w14:textId="47631AD7" w:rsidR="002E3E73" w:rsidRDefault="004A3A46" w:rsidP="00EF09BF">
      <w:pPr>
        <w:pStyle w:val="ListParagraph"/>
        <w:numPr>
          <w:ilvl w:val="1"/>
          <w:numId w:val="43"/>
        </w:numPr>
        <w:spacing w:after="0" w:line="300" w:lineRule="atLeast"/>
        <w:ind w:left="709" w:hanging="710"/>
        <w:contextualSpacing w:val="0"/>
        <w:rPr>
          <w:rFonts w:ascii="Arial" w:hAnsi="Arial" w:cs="Arial"/>
        </w:rPr>
      </w:pPr>
      <w:r w:rsidRPr="002E3E73">
        <w:rPr>
          <w:rFonts w:ascii="Arial" w:hAnsi="Arial" w:cs="Arial"/>
        </w:rPr>
        <w:t>Although</w:t>
      </w:r>
      <w:r w:rsidR="00040897" w:rsidRPr="002E3E73">
        <w:rPr>
          <w:rFonts w:ascii="Arial" w:hAnsi="Arial" w:cs="Arial"/>
        </w:rPr>
        <w:t xml:space="preserve"> multiple social and economic factors could contribute towards</w:t>
      </w:r>
      <w:r w:rsidRPr="002E3E73">
        <w:rPr>
          <w:rFonts w:ascii="Arial" w:hAnsi="Arial" w:cs="Arial"/>
        </w:rPr>
        <w:t xml:space="preserve"> the increase in the p</w:t>
      </w:r>
      <w:r w:rsidR="00040897" w:rsidRPr="002E3E73">
        <w:rPr>
          <w:rFonts w:ascii="Arial" w:hAnsi="Arial" w:cs="Arial"/>
        </w:rPr>
        <w:t>rivate sector rents in Hyndburn,</w:t>
      </w:r>
      <w:r w:rsidR="004C0C83" w:rsidRPr="002E3E73">
        <w:rPr>
          <w:rFonts w:ascii="Arial" w:hAnsi="Arial" w:cs="Arial"/>
        </w:rPr>
        <w:t xml:space="preserve"> there is little doubt that</w:t>
      </w:r>
      <w:r w:rsidR="00040897" w:rsidRPr="002E3E73">
        <w:rPr>
          <w:rFonts w:ascii="Arial" w:hAnsi="Arial" w:cs="Arial"/>
        </w:rPr>
        <w:t xml:space="preserve"> the significant reduction of the vacant dwell</w:t>
      </w:r>
      <w:r w:rsidR="004C0C83" w:rsidRPr="002E3E73">
        <w:rPr>
          <w:rFonts w:ascii="Arial" w:hAnsi="Arial" w:cs="Arial"/>
        </w:rPr>
        <w:t>ings within the Borough</w:t>
      </w:r>
      <w:r w:rsidR="00EF09BF">
        <w:rPr>
          <w:rFonts w:ascii="Arial" w:hAnsi="Arial" w:cs="Arial"/>
        </w:rPr>
        <w:t xml:space="preserve"> and </w:t>
      </w:r>
      <w:r w:rsidR="004C0C83" w:rsidRPr="002E3E73">
        <w:rPr>
          <w:rFonts w:ascii="Arial" w:hAnsi="Arial" w:cs="Arial"/>
        </w:rPr>
        <w:t>the increase of small HMOs</w:t>
      </w:r>
      <w:r w:rsidR="006663A9" w:rsidRPr="002E3E73">
        <w:rPr>
          <w:rFonts w:ascii="Arial" w:hAnsi="Arial" w:cs="Arial"/>
        </w:rPr>
        <w:t xml:space="preserve"> and other types of the accommodations competing with private renting sector </w:t>
      </w:r>
      <w:r w:rsidR="004C0C83" w:rsidRPr="002E3E73">
        <w:rPr>
          <w:rFonts w:ascii="Arial" w:hAnsi="Arial" w:cs="Arial"/>
        </w:rPr>
        <w:t>could be key driving</w:t>
      </w:r>
      <w:r w:rsidR="0073456A" w:rsidRPr="002E3E73">
        <w:rPr>
          <w:rFonts w:ascii="Arial" w:hAnsi="Arial" w:cs="Arial"/>
        </w:rPr>
        <w:t xml:space="preserve"> factors for the </w:t>
      </w:r>
      <w:r w:rsidR="002E3E73" w:rsidRPr="002E3E73">
        <w:rPr>
          <w:rFonts w:ascii="Arial" w:hAnsi="Arial" w:cs="Arial"/>
        </w:rPr>
        <w:t>increase</w:t>
      </w:r>
      <w:r w:rsidR="00EF09BF">
        <w:rPr>
          <w:rFonts w:ascii="Arial" w:hAnsi="Arial" w:cs="Arial"/>
        </w:rPr>
        <w:t xml:space="preserve"> a</w:t>
      </w:r>
      <w:r w:rsidR="00C44624">
        <w:rPr>
          <w:rFonts w:ascii="Arial" w:hAnsi="Arial" w:cs="Arial"/>
        </w:rPr>
        <w:t xml:space="preserve">longside the low wage economy and lower rents for HMO shared rooms. </w:t>
      </w:r>
    </w:p>
    <w:p w14:paraId="6EB96C9B" w14:textId="77777777" w:rsidR="00EF09BF" w:rsidRPr="00EF09BF" w:rsidRDefault="00EF09BF" w:rsidP="00EF09BF">
      <w:pPr>
        <w:pStyle w:val="ListParagraph"/>
        <w:spacing w:after="0" w:line="300" w:lineRule="atLeast"/>
        <w:ind w:left="709"/>
        <w:contextualSpacing w:val="0"/>
        <w:rPr>
          <w:rFonts w:ascii="Arial" w:hAnsi="Arial" w:cs="Arial"/>
        </w:rPr>
      </w:pPr>
    </w:p>
    <w:p w14:paraId="59F058E1" w14:textId="77777777" w:rsidR="00D505CB" w:rsidRPr="00DE6AE2" w:rsidRDefault="001500BD" w:rsidP="00DE6AE2">
      <w:pPr>
        <w:spacing w:after="0" w:line="300" w:lineRule="atLeast"/>
        <w:ind w:firstLine="709"/>
        <w:rPr>
          <w:rFonts w:ascii="Arial" w:hAnsi="Arial" w:cs="Arial"/>
          <w:b/>
        </w:rPr>
      </w:pPr>
      <w:r w:rsidRPr="00850765">
        <w:rPr>
          <w:rFonts w:ascii="Arial" w:hAnsi="Arial" w:cs="Arial"/>
          <w:b/>
        </w:rPr>
        <w:t xml:space="preserve">Contributing Towards </w:t>
      </w:r>
      <w:r w:rsidR="00C76FC6" w:rsidRPr="00850765">
        <w:rPr>
          <w:rFonts w:ascii="Arial" w:hAnsi="Arial" w:cs="Arial"/>
          <w:b/>
        </w:rPr>
        <w:t>Provision of Accommodation for Specific Social Needs</w:t>
      </w:r>
      <w:r w:rsidR="00C76FC6" w:rsidRPr="00DE6AE2">
        <w:rPr>
          <w:rFonts w:ascii="Arial" w:hAnsi="Arial" w:cs="Arial"/>
          <w:b/>
        </w:rPr>
        <w:t xml:space="preserve"> </w:t>
      </w:r>
    </w:p>
    <w:p w14:paraId="748E866D" w14:textId="77777777" w:rsidR="00D04D82" w:rsidRPr="00E810AA" w:rsidRDefault="00D04D82" w:rsidP="00D04D82">
      <w:pPr>
        <w:pStyle w:val="ListParagraph"/>
        <w:spacing w:after="0" w:line="300" w:lineRule="atLeast"/>
        <w:ind w:left="1429"/>
        <w:contextualSpacing w:val="0"/>
        <w:rPr>
          <w:rFonts w:ascii="Arial" w:hAnsi="Arial" w:cs="Arial"/>
        </w:rPr>
      </w:pPr>
    </w:p>
    <w:p w14:paraId="1AC809DF" w14:textId="40D8CD5C" w:rsidR="002F0192" w:rsidRDefault="001500BD"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 xml:space="preserve">HMOs </w:t>
      </w:r>
      <w:r w:rsidR="006663A9" w:rsidRPr="00E810AA">
        <w:rPr>
          <w:rFonts w:ascii="Arial" w:hAnsi="Arial" w:cs="Arial"/>
        </w:rPr>
        <w:t>can make an important contribution to Hyndburn’s housing offer, providing flexible and affordable accommodation for young professionals, alongside low-income household who may be economically inactive or working in low paid jobs. HMOs in Hyndburn ha</w:t>
      </w:r>
      <w:r w:rsidR="00C44624">
        <w:rPr>
          <w:rFonts w:ascii="Arial" w:hAnsi="Arial" w:cs="Arial"/>
        </w:rPr>
        <w:t>ve</w:t>
      </w:r>
      <w:r w:rsidR="006663A9" w:rsidRPr="00E810AA">
        <w:rPr>
          <w:rFonts w:ascii="Arial" w:hAnsi="Arial" w:cs="Arial"/>
        </w:rPr>
        <w:t xml:space="preserve"> also provided residence for people in full-time further or higher education, being operated by a voluntary organisation as temporary accommodation for people in various needs, for asylum seekers and their dependents, (under Section 95 of the Immigration and Asylum Act 1999), or as hostel or night shelter providing accommodation for homeless and ex-offenders.  </w:t>
      </w:r>
    </w:p>
    <w:p w14:paraId="072F76AC" w14:textId="77777777" w:rsidR="00D04D82" w:rsidRPr="00E810AA" w:rsidRDefault="00D04D82" w:rsidP="00D04D82">
      <w:pPr>
        <w:pStyle w:val="ListParagraph"/>
        <w:spacing w:after="0" w:line="300" w:lineRule="atLeast"/>
        <w:ind w:left="709"/>
        <w:contextualSpacing w:val="0"/>
        <w:rPr>
          <w:rFonts w:ascii="Arial" w:hAnsi="Arial" w:cs="Arial"/>
        </w:rPr>
      </w:pPr>
    </w:p>
    <w:p w14:paraId="42E862FA" w14:textId="6D59A596" w:rsidR="00D04D82" w:rsidRDefault="00F12A34" w:rsidP="00A80448">
      <w:pPr>
        <w:pStyle w:val="ListParagraph"/>
        <w:numPr>
          <w:ilvl w:val="1"/>
          <w:numId w:val="43"/>
        </w:numPr>
        <w:spacing w:after="0" w:line="300" w:lineRule="atLeast"/>
        <w:ind w:left="709" w:hanging="709"/>
        <w:contextualSpacing w:val="0"/>
        <w:rPr>
          <w:rFonts w:ascii="Arial" w:hAnsi="Arial" w:cs="Arial"/>
        </w:rPr>
      </w:pPr>
      <w:r w:rsidRPr="00E810AA">
        <w:rPr>
          <w:rFonts w:ascii="Arial" w:hAnsi="Arial" w:cs="Arial"/>
        </w:rPr>
        <w:t xml:space="preserve">According to the </w:t>
      </w:r>
      <w:r w:rsidR="00594F59" w:rsidRPr="00E810AA">
        <w:rPr>
          <w:rFonts w:ascii="Arial" w:hAnsi="Arial" w:cs="Arial"/>
        </w:rPr>
        <w:t>records provided by Northwest Strategic Migra</w:t>
      </w:r>
      <w:r w:rsidR="00DD2C24" w:rsidRPr="00E810AA">
        <w:rPr>
          <w:rFonts w:ascii="Arial" w:hAnsi="Arial" w:cs="Arial"/>
        </w:rPr>
        <w:t xml:space="preserve">tion Partnership, Lancashire-14 areas currently </w:t>
      </w:r>
      <w:r w:rsidR="00C16F94" w:rsidRPr="00E810AA">
        <w:rPr>
          <w:rFonts w:ascii="Arial" w:hAnsi="Arial" w:cs="Arial"/>
        </w:rPr>
        <w:t>provide</w:t>
      </w:r>
      <w:r w:rsidR="00C91DD9" w:rsidRPr="00E810AA">
        <w:rPr>
          <w:rFonts w:ascii="Arial" w:hAnsi="Arial" w:cs="Arial"/>
        </w:rPr>
        <w:t xml:space="preserve"> accommodation for</w:t>
      </w:r>
      <w:r w:rsidR="00DD2C24" w:rsidRPr="00E810AA">
        <w:rPr>
          <w:rFonts w:ascii="Arial" w:hAnsi="Arial" w:cs="Arial"/>
        </w:rPr>
        <w:t xml:space="preserve"> </w:t>
      </w:r>
      <w:r w:rsidR="00C91DD9" w:rsidRPr="00E810AA">
        <w:rPr>
          <w:rFonts w:ascii="Arial" w:hAnsi="Arial" w:cs="Arial"/>
        </w:rPr>
        <w:t xml:space="preserve">a total of </w:t>
      </w:r>
      <w:r w:rsidR="00172EF5">
        <w:rPr>
          <w:rFonts w:ascii="Arial" w:hAnsi="Arial" w:cs="Arial"/>
        </w:rPr>
        <w:t>1,875</w:t>
      </w:r>
      <w:r w:rsidR="00C91DD9" w:rsidRPr="00E810AA">
        <w:rPr>
          <w:rFonts w:ascii="Arial" w:hAnsi="Arial" w:cs="Arial"/>
        </w:rPr>
        <w:t xml:space="preserve"> asylum seekers, and Hyndburn has </w:t>
      </w:r>
      <w:r w:rsidR="00EF09BF">
        <w:rPr>
          <w:rFonts w:ascii="Arial" w:hAnsi="Arial" w:cs="Arial"/>
        </w:rPr>
        <w:t xml:space="preserve">accommodated </w:t>
      </w:r>
      <w:r w:rsidR="00617531" w:rsidRPr="00E810AA">
        <w:rPr>
          <w:rFonts w:ascii="Arial" w:hAnsi="Arial" w:cs="Arial"/>
        </w:rPr>
        <w:t xml:space="preserve">approximately of 10% of the total number. </w:t>
      </w:r>
      <w:r w:rsidR="001F4BC1" w:rsidRPr="00E810AA">
        <w:rPr>
          <w:rFonts w:ascii="Arial" w:hAnsi="Arial" w:cs="Arial"/>
        </w:rPr>
        <w:t>It is also noted that the Hyndburn is ranked the 2</w:t>
      </w:r>
      <w:r w:rsidR="001F4BC1" w:rsidRPr="00E810AA">
        <w:rPr>
          <w:rFonts w:ascii="Arial" w:hAnsi="Arial" w:cs="Arial"/>
          <w:vertAlign w:val="superscript"/>
        </w:rPr>
        <w:t>nd</w:t>
      </w:r>
      <w:r w:rsidR="001F4BC1" w:rsidRPr="00E810AA">
        <w:rPr>
          <w:rFonts w:ascii="Arial" w:hAnsi="Arial" w:cs="Arial"/>
        </w:rPr>
        <w:t xml:space="preserve"> and 1</w:t>
      </w:r>
      <w:r w:rsidR="001F4BC1" w:rsidRPr="00E810AA">
        <w:rPr>
          <w:rFonts w:ascii="Arial" w:hAnsi="Arial" w:cs="Arial"/>
          <w:vertAlign w:val="superscript"/>
        </w:rPr>
        <w:t>st</w:t>
      </w:r>
      <w:r w:rsidR="001F4BC1" w:rsidRPr="00E810AA">
        <w:rPr>
          <w:rFonts w:ascii="Arial" w:hAnsi="Arial" w:cs="Arial"/>
        </w:rPr>
        <w:t xml:space="preserve"> on the asylum </w:t>
      </w:r>
      <w:r w:rsidR="001F4BC1" w:rsidRPr="00E810AA">
        <w:rPr>
          <w:rFonts w:ascii="Arial" w:hAnsi="Arial" w:cs="Arial"/>
        </w:rPr>
        <w:lastRenderedPageBreak/>
        <w:t xml:space="preserve">seeker/population ratio amongst the Lancashire-14 and Lancashire 12 areas respectively. </w:t>
      </w:r>
    </w:p>
    <w:p w14:paraId="6829D707" w14:textId="77777777" w:rsidR="00853E8C" w:rsidRDefault="00853E8C" w:rsidP="00853E8C">
      <w:pPr>
        <w:pStyle w:val="ListParagraph"/>
        <w:spacing w:after="0" w:line="300" w:lineRule="atLeast"/>
        <w:ind w:left="709"/>
        <w:contextualSpacing w:val="0"/>
        <w:rPr>
          <w:rFonts w:ascii="Arial" w:hAnsi="Arial" w:cs="Arial"/>
        </w:rPr>
      </w:pPr>
    </w:p>
    <w:p w14:paraId="0310F1ED" w14:textId="65D05B5E" w:rsidR="00EF09BF" w:rsidRPr="00EF09BF" w:rsidRDefault="00EF09BF" w:rsidP="00EF09BF">
      <w:pPr>
        <w:spacing w:after="0" w:line="300" w:lineRule="atLeast"/>
        <w:ind w:left="709"/>
        <w:rPr>
          <w:rFonts w:ascii="Arial" w:hAnsi="Arial" w:cs="Arial"/>
          <w:b/>
          <w:bCs/>
        </w:rPr>
      </w:pPr>
      <w:r w:rsidRPr="00EF09BF">
        <w:rPr>
          <w:rFonts w:ascii="Arial" w:hAnsi="Arial" w:cs="Arial"/>
          <w:b/>
          <w:bCs/>
        </w:rPr>
        <w:t xml:space="preserve">Table </w:t>
      </w:r>
      <w:r>
        <w:rPr>
          <w:rFonts w:ascii="Arial" w:hAnsi="Arial" w:cs="Arial"/>
          <w:b/>
          <w:bCs/>
        </w:rPr>
        <w:t>9</w:t>
      </w:r>
      <w:r w:rsidRPr="00EF09BF">
        <w:rPr>
          <w:rFonts w:ascii="Arial" w:hAnsi="Arial" w:cs="Arial"/>
          <w:b/>
          <w:bCs/>
        </w:rPr>
        <w:t xml:space="preserve"> - Ratio between the number of Asylum Seekers and Total Population of Lancashire -14</w:t>
      </w:r>
      <w:r>
        <w:rPr>
          <w:rFonts w:ascii="Arial" w:hAnsi="Arial" w:cs="Arial"/>
          <w:b/>
          <w:bCs/>
        </w:rPr>
        <w:t xml:space="preserve"> (</w:t>
      </w:r>
      <w:r w:rsidRPr="00EF09BF">
        <w:rPr>
          <w:rFonts w:ascii="Arial" w:hAnsi="Arial" w:cs="Arial"/>
          <w:b/>
          <w:bCs/>
        </w:rPr>
        <w:t xml:space="preserve">Source: Northwest Regional Strategic Migration Partnership </w:t>
      </w:r>
      <w:hyperlink r:id="rId15" w:history="1">
        <w:r w:rsidRPr="00EF09BF">
          <w:rPr>
            <w:rStyle w:val="Hyperlink"/>
            <w:rFonts w:ascii="Arial" w:hAnsi="Arial" w:cs="Arial"/>
            <w:b/>
            <w:bCs/>
          </w:rPr>
          <w:t>https://northwestrsmp.org.uk/statistics</w:t>
        </w:r>
      </w:hyperlink>
      <w:r>
        <w:rPr>
          <w:rFonts w:ascii="Arial" w:hAnsi="Arial" w:cs="Arial"/>
          <w:b/>
          <w:bCs/>
        </w:rPr>
        <w:t>)</w:t>
      </w:r>
    </w:p>
    <w:p w14:paraId="282B08F4" w14:textId="77777777" w:rsidR="002411ED" w:rsidRPr="002411ED" w:rsidRDefault="00853E8C" w:rsidP="002411ED">
      <w:pPr>
        <w:pStyle w:val="ListParagraph"/>
        <w:spacing w:after="0" w:line="300" w:lineRule="atLeast"/>
        <w:ind w:left="709"/>
        <w:contextualSpacing w:val="0"/>
        <w:rPr>
          <w:rFonts w:ascii="Arial" w:hAnsi="Arial" w:cs="Arial"/>
        </w:rPr>
      </w:pPr>
      <w:r w:rsidRPr="00E810AA">
        <w:rPr>
          <w:rFonts w:ascii="Arial" w:hAnsi="Arial" w:cs="Arial"/>
          <w:noProof/>
          <w:lang w:eastAsia="en-GB"/>
        </w:rPr>
        <w:drawing>
          <wp:anchor distT="0" distB="0" distL="114300" distR="114300" simplePos="0" relativeHeight="251681792" behindDoc="1" locked="0" layoutInCell="1" allowOverlap="1" wp14:anchorId="17B0423F" wp14:editId="5FEA28C7">
            <wp:simplePos x="0" y="0"/>
            <wp:positionH relativeFrom="margin">
              <wp:posOffset>552450</wp:posOffset>
            </wp:positionH>
            <wp:positionV relativeFrom="paragraph">
              <wp:posOffset>123825</wp:posOffset>
            </wp:positionV>
            <wp:extent cx="4836795" cy="2905125"/>
            <wp:effectExtent l="0" t="0" r="1905" b="9525"/>
            <wp:wrapTight wrapText="bothSides">
              <wp:wrapPolygon edited="0">
                <wp:start x="0" y="0"/>
                <wp:lineTo x="0" y="21529"/>
                <wp:lineTo x="21523" y="21529"/>
                <wp:lineTo x="2152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6795" cy="2905125"/>
                    </a:xfrm>
                    <a:prstGeom prst="rect">
                      <a:avLst/>
                    </a:prstGeom>
                    <a:noFill/>
                  </pic:spPr>
                </pic:pic>
              </a:graphicData>
            </a:graphic>
            <wp14:sizeRelH relativeFrom="margin">
              <wp14:pctWidth>0</wp14:pctWidth>
            </wp14:sizeRelH>
            <wp14:sizeRelV relativeFrom="margin">
              <wp14:pctHeight>0</wp14:pctHeight>
            </wp14:sizeRelV>
          </wp:anchor>
        </w:drawing>
      </w:r>
    </w:p>
    <w:p w14:paraId="16033137" w14:textId="77777777" w:rsidR="00D615A6" w:rsidRPr="00E810AA" w:rsidRDefault="00D615A6" w:rsidP="00E810AA">
      <w:pPr>
        <w:pStyle w:val="ListParagraph"/>
        <w:spacing w:after="0" w:line="300" w:lineRule="atLeast"/>
        <w:contextualSpacing w:val="0"/>
        <w:rPr>
          <w:rFonts w:ascii="Arial" w:hAnsi="Arial" w:cs="Arial"/>
        </w:rPr>
      </w:pPr>
    </w:p>
    <w:p w14:paraId="1383C3C7" w14:textId="77777777" w:rsidR="00D615A6" w:rsidRPr="00E810AA" w:rsidRDefault="00D615A6" w:rsidP="00E810AA">
      <w:pPr>
        <w:pStyle w:val="ListParagraph"/>
        <w:spacing w:after="0" w:line="300" w:lineRule="atLeast"/>
        <w:contextualSpacing w:val="0"/>
        <w:rPr>
          <w:rFonts w:ascii="Arial" w:hAnsi="Arial" w:cs="Arial"/>
        </w:rPr>
      </w:pPr>
    </w:p>
    <w:p w14:paraId="40FA76FE" w14:textId="77777777" w:rsidR="001026E9" w:rsidRDefault="001026E9" w:rsidP="00E810AA">
      <w:pPr>
        <w:spacing w:after="0" w:line="300" w:lineRule="atLeast"/>
        <w:jc w:val="center"/>
        <w:rPr>
          <w:rFonts w:ascii="Arial" w:hAnsi="Arial" w:cs="Arial"/>
        </w:rPr>
      </w:pPr>
    </w:p>
    <w:p w14:paraId="63B3D5F9" w14:textId="77777777" w:rsidR="00D04D82" w:rsidRDefault="00D04D82" w:rsidP="00E810AA">
      <w:pPr>
        <w:spacing w:after="0" w:line="300" w:lineRule="atLeast"/>
        <w:jc w:val="center"/>
        <w:rPr>
          <w:rFonts w:ascii="Arial" w:hAnsi="Arial" w:cs="Arial"/>
        </w:rPr>
      </w:pPr>
    </w:p>
    <w:p w14:paraId="05249A49" w14:textId="77777777" w:rsidR="00D04D82" w:rsidRDefault="00D04D82" w:rsidP="00E810AA">
      <w:pPr>
        <w:spacing w:after="0" w:line="300" w:lineRule="atLeast"/>
        <w:jc w:val="center"/>
        <w:rPr>
          <w:rFonts w:ascii="Arial" w:hAnsi="Arial" w:cs="Arial"/>
        </w:rPr>
      </w:pPr>
    </w:p>
    <w:p w14:paraId="683F9A6A" w14:textId="77777777" w:rsidR="00D04D82" w:rsidRDefault="00D04D82" w:rsidP="00E810AA">
      <w:pPr>
        <w:spacing w:after="0" w:line="300" w:lineRule="atLeast"/>
        <w:jc w:val="center"/>
        <w:rPr>
          <w:rFonts w:ascii="Arial" w:hAnsi="Arial" w:cs="Arial"/>
        </w:rPr>
      </w:pPr>
    </w:p>
    <w:p w14:paraId="6B13C1AD" w14:textId="77777777" w:rsidR="00D04D82" w:rsidRDefault="00D04D82" w:rsidP="00E810AA">
      <w:pPr>
        <w:spacing w:after="0" w:line="300" w:lineRule="atLeast"/>
        <w:jc w:val="center"/>
        <w:rPr>
          <w:rFonts w:ascii="Arial" w:hAnsi="Arial" w:cs="Arial"/>
        </w:rPr>
      </w:pPr>
    </w:p>
    <w:p w14:paraId="6FF9FCA3" w14:textId="77777777" w:rsidR="00D04D82" w:rsidRPr="00E810AA" w:rsidRDefault="00D04D82" w:rsidP="00E810AA">
      <w:pPr>
        <w:spacing w:after="0" w:line="300" w:lineRule="atLeast"/>
        <w:jc w:val="center"/>
        <w:rPr>
          <w:rFonts w:ascii="Arial" w:hAnsi="Arial" w:cs="Arial"/>
        </w:rPr>
      </w:pPr>
    </w:p>
    <w:p w14:paraId="645DDD8B" w14:textId="77777777" w:rsidR="001026E9" w:rsidRPr="00E810AA" w:rsidRDefault="001026E9" w:rsidP="00E810AA">
      <w:pPr>
        <w:spacing w:after="0" w:line="300" w:lineRule="atLeast"/>
        <w:jc w:val="center"/>
        <w:rPr>
          <w:rFonts w:ascii="Arial" w:hAnsi="Arial" w:cs="Arial"/>
        </w:rPr>
      </w:pPr>
    </w:p>
    <w:p w14:paraId="0008FFBB" w14:textId="77777777" w:rsidR="001026E9" w:rsidRPr="00E810AA" w:rsidRDefault="001026E9" w:rsidP="00E810AA">
      <w:pPr>
        <w:spacing w:after="0" w:line="300" w:lineRule="atLeast"/>
        <w:jc w:val="center"/>
        <w:rPr>
          <w:rFonts w:ascii="Arial" w:hAnsi="Arial" w:cs="Arial"/>
        </w:rPr>
      </w:pPr>
    </w:p>
    <w:p w14:paraId="7447616D" w14:textId="77777777" w:rsidR="00DF6828" w:rsidRPr="00E810AA" w:rsidRDefault="00DF6828" w:rsidP="00E810AA">
      <w:pPr>
        <w:spacing w:after="0" w:line="300" w:lineRule="atLeast"/>
        <w:jc w:val="center"/>
        <w:rPr>
          <w:rFonts w:ascii="Arial" w:hAnsi="Arial" w:cs="Arial"/>
        </w:rPr>
      </w:pPr>
    </w:p>
    <w:p w14:paraId="71719126" w14:textId="77777777" w:rsidR="002B41DE" w:rsidRDefault="002B41DE" w:rsidP="002411ED">
      <w:pPr>
        <w:spacing w:after="0" w:line="300" w:lineRule="atLeast"/>
        <w:rPr>
          <w:rFonts w:ascii="Arial" w:hAnsi="Arial" w:cs="Arial"/>
        </w:rPr>
      </w:pPr>
    </w:p>
    <w:p w14:paraId="2CDA64B4" w14:textId="77777777" w:rsidR="002411ED" w:rsidRDefault="002411ED" w:rsidP="002411ED">
      <w:pPr>
        <w:spacing w:after="0" w:line="300" w:lineRule="atLeast"/>
        <w:rPr>
          <w:rFonts w:ascii="Arial" w:hAnsi="Arial" w:cs="Arial"/>
        </w:rPr>
      </w:pPr>
    </w:p>
    <w:p w14:paraId="515617A5" w14:textId="77777777" w:rsidR="00853E8C" w:rsidRDefault="00853E8C" w:rsidP="00853E8C">
      <w:pPr>
        <w:spacing w:after="0" w:line="300" w:lineRule="atLeast"/>
        <w:ind w:left="1985" w:hanging="1276"/>
        <w:rPr>
          <w:rFonts w:ascii="Arial" w:hAnsi="Arial" w:cs="Arial"/>
        </w:rPr>
      </w:pPr>
    </w:p>
    <w:p w14:paraId="6ED5EF01" w14:textId="77777777" w:rsidR="00853E8C" w:rsidRDefault="00853E8C" w:rsidP="00853E8C">
      <w:pPr>
        <w:spacing w:after="0" w:line="300" w:lineRule="atLeast"/>
        <w:ind w:left="1985" w:hanging="1276"/>
        <w:rPr>
          <w:rFonts w:ascii="Arial" w:hAnsi="Arial" w:cs="Arial"/>
        </w:rPr>
      </w:pPr>
    </w:p>
    <w:p w14:paraId="2B7F61C5" w14:textId="77777777" w:rsidR="00C16F94" w:rsidRPr="00C16F94" w:rsidRDefault="00C16F94" w:rsidP="00C16F94">
      <w:pPr>
        <w:spacing w:after="0" w:line="300" w:lineRule="atLeast"/>
        <w:ind w:left="709"/>
        <w:rPr>
          <w:rFonts w:ascii="Arial" w:hAnsi="Arial" w:cs="Arial"/>
          <w:i/>
          <w:iCs/>
          <w:sz w:val="18"/>
          <w:szCs w:val="18"/>
        </w:rPr>
      </w:pPr>
    </w:p>
    <w:p w14:paraId="1E80CCA5" w14:textId="5A3D631D" w:rsidR="003F79BC" w:rsidRPr="00850765" w:rsidRDefault="001500BD" w:rsidP="00A80448">
      <w:pPr>
        <w:pStyle w:val="ListParagraph"/>
        <w:numPr>
          <w:ilvl w:val="1"/>
          <w:numId w:val="43"/>
        </w:numPr>
        <w:spacing w:after="0" w:line="300" w:lineRule="atLeast"/>
        <w:ind w:left="709" w:hanging="709"/>
        <w:contextualSpacing w:val="0"/>
        <w:rPr>
          <w:rFonts w:ascii="Arial" w:hAnsi="Arial" w:cs="Arial"/>
        </w:rPr>
      </w:pPr>
      <w:r w:rsidRPr="00850765">
        <w:rPr>
          <w:rFonts w:ascii="Arial" w:hAnsi="Arial" w:cs="Arial"/>
        </w:rPr>
        <w:t>At the time when th</w:t>
      </w:r>
      <w:r w:rsidR="00850765" w:rsidRPr="00850765">
        <w:rPr>
          <w:rFonts w:ascii="Arial" w:hAnsi="Arial" w:cs="Arial"/>
        </w:rPr>
        <w:t xml:space="preserve">e original </w:t>
      </w:r>
      <w:r w:rsidR="00EF09BF">
        <w:rPr>
          <w:rFonts w:ascii="Arial" w:hAnsi="Arial" w:cs="Arial"/>
        </w:rPr>
        <w:t xml:space="preserve">Article 4 direction </w:t>
      </w:r>
      <w:r w:rsidRPr="00850765">
        <w:rPr>
          <w:rFonts w:ascii="Arial" w:hAnsi="Arial" w:cs="Arial"/>
        </w:rPr>
        <w:t>evidence b</w:t>
      </w:r>
      <w:r w:rsidR="001F4BC1" w:rsidRPr="00850765">
        <w:rPr>
          <w:rFonts w:ascii="Arial" w:hAnsi="Arial" w:cs="Arial"/>
        </w:rPr>
        <w:t>ase</w:t>
      </w:r>
      <w:r w:rsidRPr="00850765">
        <w:rPr>
          <w:rFonts w:ascii="Arial" w:hAnsi="Arial" w:cs="Arial"/>
        </w:rPr>
        <w:t xml:space="preserve"> doc</w:t>
      </w:r>
      <w:r w:rsidR="00853E8C" w:rsidRPr="00850765">
        <w:rPr>
          <w:rFonts w:ascii="Arial" w:hAnsi="Arial" w:cs="Arial"/>
        </w:rPr>
        <w:t xml:space="preserve">ument </w:t>
      </w:r>
      <w:r w:rsidR="00850765" w:rsidRPr="00850765">
        <w:rPr>
          <w:rFonts w:ascii="Arial" w:hAnsi="Arial" w:cs="Arial"/>
        </w:rPr>
        <w:t>was</w:t>
      </w:r>
      <w:r w:rsidR="00853E8C" w:rsidRPr="00850765">
        <w:rPr>
          <w:rFonts w:ascii="Arial" w:hAnsi="Arial" w:cs="Arial"/>
        </w:rPr>
        <w:t xml:space="preserve"> prepared</w:t>
      </w:r>
      <w:r w:rsidR="00850765" w:rsidRPr="00850765">
        <w:rPr>
          <w:rFonts w:ascii="Arial" w:hAnsi="Arial" w:cs="Arial"/>
        </w:rPr>
        <w:t xml:space="preserve"> in 2024</w:t>
      </w:r>
      <w:r w:rsidR="00853E8C" w:rsidRPr="00850765">
        <w:rPr>
          <w:rFonts w:ascii="Arial" w:hAnsi="Arial" w:cs="Arial"/>
        </w:rPr>
        <w:t>, Hyndburn ha</w:t>
      </w:r>
      <w:r w:rsidR="00EF09BF">
        <w:rPr>
          <w:rFonts w:ascii="Arial" w:hAnsi="Arial" w:cs="Arial"/>
        </w:rPr>
        <w:t>d</w:t>
      </w:r>
      <w:r w:rsidR="00853E8C" w:rsidRPr="00850765">
        <w:rPr>
          <w:rFonts w:ascii="Arial" w:hAnsi="Arial" w:cs="Arial"/>
        </w:rPr>
        <w:t xml:space="preserve"> been working with G</w:t>
      </w:r>
      <w:r w:rsidRPr="00850765">
        <w:rPr>
          <w:rFonts w:ascii="Arial" w:hAnsi="Arial" w:cs="Arial"/>
        </w:rPr>
        <w:t xml:space="preserve">overnment partnerships and private landlords to </w:t>
      </w:r>
      <w:r w:rsidR="00852AB1" w:rsidRPr="00850765">
        <w:rPr>
          <w:rFonts w:ascii="Arial" w:hAnsi="Arial" w:cs="Arial"/>
        </w:rPr>
        <w:t>contract</w:t>
      </w:r>
      <w:r w:rsidR="00853E8C" w:rsidRPr="00850765">
        <w:rPr>
          <w:rFonts w:ascii="Arial" w:hAnsi="Arial" w:cs="Arial"/>
        </w:rPr>
        <w:t xml:space="preserve"> HMOs </w:t>
      </w:r>
      <w:r w:rsidR="00EF09BF">
        <w:rPr>
          <w:rFonts w:ascii="Arial" w:hAnsi="Arial" w:cs="Arial"/>
        </w:rPr>
        <w:t xml:space="preserve">in </w:t>
      </w:r>
      <w:r w:rsidR="00853E8C" w:rsidRPr="00850765">
        <w:rPr>
          <w:rFonts w:ascii="Arial" w:hAnsi="Arial" w:cs="Arial"/>
        </w:rPr>
        <w:t>the area</w:t>
      </w:r>
      <w:r w:rsidRPr="00850765">
        <w:rPr>
          <w:rFonts w:ascii="Arial" w:hAnsi="Arial" w:cs="Arial"/>
        </w:rPr>
        <w:t xml:space="preserve"> to provide temporary accommodation for asylum seekers</w:t>
      </w:r>
      <w:r w:rsidR="00852AB1" w:rsidRPr="00850765">
        <w:rPr>
          <w:rFonts w:ascii="Arial" w:hAnsi="Arial" w:cs="Arial"/>
        </w:rPr>
        <w:t xml:space="preserve"> and to</w:t>
      </w:r>
      <w:r w:rsidRPr="00850765">
        <w:rPr>
          <w:rFonts w:ascii="Arial" w:hAnsi="Arial" w:cs="Arial"/>
        </w:rPr>
        <w:t xml:space="preserve"> provide temporary accommodations for ex-offenders and homeless referrals mostly from outside the Borough.</w:t>
      </w:r>
      <w:r w:rsidR="00853E8C" w:rsidRPr="00850765">
        <w:rPr>
          <w:rFonts w:ascii="Arial" w:hAnsi="Arial" w:cs="Arial"/>
        </w:rPr>
        <w:t xml:space="preserve"> </w:t>
      </w:r>
      <w:r w:rsidRPr="00850765">
        <w:rPr>
          <w:rFonts w:ascii="Arial" w:hAnsi="Arial" w:cs="Arial"/>
        </w:rPr>
        <w:t>There is little doubt that such arrangement</w:t>
      </w:r>
      <w:r w:rsidR="00EF09BF">
        <w:rPr>
          <w:rFonts w:ascii="Arial" w:hAnsi="Arial" w:cs="Arial"/>
        </w:rPr>
        <w:t>s</w:t>
      </w:r>
      <w:r w:rsidRPr="00850765">
        <w:rPr>
          <w:rFonts w:ascii="Arial" w:hAnsi="Arial" w:cs="Arial"/>
        </w:rPr>
        <w:t xml:space="preserve"> would inevitably bring people from elsewhere to the Borough which would impose extra </w:t>
      </w:r>
      <w:r w:rsidR="00852AB1" w:rsidRPr="00850765">
        <w:rPr>
          <w:rFonts w:ascii="Arial" w:hAnsi="Arial" w:cs="Arial"/>
        </w:rPr>
        <w:t>pressure to local services. The transient nature</w:t>
      </w:r>
      <w:r w:rsidR="00E42569" w:rsidRPr="00850765">
        <w:rPr>
          <w:rFonts w:ascii="Arial" w:hAnsi="Arial" w:cs="Arial"/>
        </w:rPr>
        <w:t xml:space="preserve"> of this type of accommodations makes it particularly difficult for the residents</w:t>
      </w:r>
      <w:r w:rsidR="00853E8C" w:rsidRPr="00850765">
        <w:rPr>
          <w:rFonts w:ascii="Arial" w:hAnsi="Arial" w:cs="Arial"/>
        </w:rPr>
        <w:t>, who are often only temporarily being accommodated,</w:t>
      </w:r>
      <w:r w:rsidR="00E42569" w:rsidRPr="00850765">
        <w:rPr>
          <w:rFonts w:ascii="Arial" w:hAnsi="Arial" w:cs="Arial"/>
        </w:rPr>
        <w:t xml:space="preserve"> to integrate with local commu</w:t>
      </w:r>
      <w:r w:rsidR="000F4AE3" w:rsidRPr="00850765">
        <w:rPr>
          <w:rFonts w:ascii="Arial" w:hAnsi="Arial" w:cs="Arial"/>
        </w:rPr>
        <w:t xml:space="preserve">nities. </w:t>
      </w:r>
      <w:r w:rsidR="00853E8C" w:rsidRPr="00850765">
        <w:rPr>
          <w:rFonts w:ascii="Arial" w:hAnsi="Arial" w:cs="Arial"/>
        </w:rPr>
        <w:t xml:space="preserve"> </w:t>
      </w:r>
      <w:r w:rsidR="000F4AE3" w:rsidRPr="00850765">
        <w:rPr>
          <w:rFonts w:ascii="Arial" w:hAnsi="Arial" w:cs="Arial"/>
        </w:rPr>
        <w:t xml:space="preserve">The concentration of such type of accommodation could potentially marginalise both the HMO residents and local families. </w:t>
      </w:r>
    </w:p>
    <w:p w14:paraId="4E378B84" w14:textId="77777777" w:rsidR="002B41DE" w:rsidRPr="00E810AA" w:rsidRDefault="002B41DE" w:rsidP="002B41DE">
      <w:pPr>
        <w:pStyle w:val="ListParagraph"/>
        <w:spacing w:after="0" w:line="300" w:lineRule="atLeast"/>
        <w:ind w:left="851"/>
        <w:contextualSpacing w:val="0"/>
        <w:rPr>
          <w:rFonts w:ascii="Arial" w:hAnsi="Arial" w:cs="Arial"/>
        </w:rPr>
      </w:pPr>
    </w:p>
    <w:p w14:paraId="43F01BEC" w14:textId="21C81985" w:rsidR="00326632" w:rsidRDefault="001500BD" w:rsidP="00A80448">
      <w:pPr>
        <w:pStyle w:val="ListParagraph"/>
        <w:numPr>
          <w:ilvl w:val="1"/>
          <w:numId w:val="43"/>
        </w:numPr>
        <w:spacing w:after="0" w:line="300" w:lineRule="atLeast"/>
        <w:ind w:left="709" w:hanging="709"/>
        <w:contextualSpacing w:val="0"/>
        <w:rPr>
          <w:rFonts w:ascii="Arial" w:hAnsi="Arial" w:cs="Arial"/>
        </w:rPr>
      </w:pPr>
      <w:r w:rsidRPr="00E810AA">
        <w:rPr>
          <w:rFonts w:ascii="Arial" w:hAnsi="Arial" w:cs="Arial"/>
        </w:rPr>
        <w:t>It should be noted that such arrangement</w:t>
      </w:r>
      <w:r w:rsidR="00EF09BF">
        <w:rPr>
          <w:rFonts w:ascii="Arial" w:hAnsi="Arial" w:cs="Arial"/>
        </w:rPr>
        <w:t>s</w:t>
      </w:r>
      <w:r w:rsidRPr="00E810AA">
        <w:rPr>
          <w:rFonts w:ascii="Arial" w:hAnsi="Arial" w:cs="Arial"/>
        </w:rPr>
        <w:t xml:space="preserve"> </w:t>
      </w:r>
      <w:r w:rsidR="001F4BC1" w:rsidRPr="00E810AA">
        <w:rPr>
          <w:rFonts w:ascii="Arial" w:hAnsi="Arial" w:cs="Arial"/>
        </w:rPr>
        <w:t>incentivise current HMO landlords and temporary accommodation providers to switch their properties away from their existing use to Home Office contracts for asylum accommodation that m</w:t>
      </w:r>
      <w:r w:rsidR="000F4AE3" w:rsidRPr="00E810AA">
        <w:rPr>
          <w:rFonts w:ascii="Arial" w:hAnsi="Arial" w:cs="Arial"/>
        </w:rPr>
        <w:t>ay be more profitable. Without an</w:t>
      </w:r>
      <w:r w:rsidR="001F4BC1" w:rsidRPr="00E810AA">
        <w:rPr>
          <w:rFonts w:ascii="Arial" w:hAnsi="Arial" w:cs="Arial"/>
        </w:rPr>
        <w:t xml:space="preserve"> Article 4 Directions in place, this could potentially trigger further unplanned expansion of HMOs within the areas that </w:t>
      </w:r>
      <w:r w:rsidR="00EF09BF">
        <w:rPr>
          <w:rFonts w:ascii="Arial" w:hAnsi="Arial" w:cs="Arial"/>
        </w:rPr>
        <w:t xml:space="preserve">are </w:t>
      </w:r>
      <w:r w:rsidR="001F4BC1" w:rsidRPr="00E810AA">
        <w:rPr>
          <w:rFonts w:ascii="Arial" w:hAnsi="Arial" w:cs="Arial"/>
        </w:rPr>
        <w:t xml:space="preserve">already over-concentrated with such accommodations.  </w:t>
      </w:r>
    </w:p>
    <w:p w14:paraId="6D6C05D2" w14:textId="77777777" w:rsidR="002B41DE" w:rsidRDefault="002B41DE" w:rsidP="002B41DE">
      <w:pPr>
        <w:pStyle w:val="ListParagraph"/>
        <w:spacing w:after="0" w:line="300" w:lineRule="atLeast"/>
        <w:ind w:left="851"/>
        <w:contextualSpacing w:val="0"/>
        <w:rPr>
          <w:rFonts w:ascii="Arial" w:hAnsi="Arial" w:cs="Arial"/>
        </w:rPr>
      </w:pPr>
    </w:p>
    <w:p w14:paraId="0DC2682C" w14:textId="5CFE9562" w:rsidR="0025183B" w:rsidRPr="002411ED" w:rsidRDefault="0070431B" w:rsidP="002411ED">
      <w:pPr>
        <w:spacing w:after="0" w:line="300" w:lineRule="atLeast"/>
        <w:ind w:left="709"/>
        <w:rPr>
          <w:rFonts w:ascii="Arial" w:hAnsi="Arial" w:cs="Arial"/>
          <w:b/>
        </w:rPr>
      </w:pPr>
      <w:r w:rsidRPr="002411ED">
        <w:rPr>
          <w:rFonts w:ascii="Arial" w:hAnsi="Arial" w:cs="Arial"/>
          <w:b/>
        </w:rPr>
        <w:t>Crime</w:t>
      </w:r>
    </w:p>
    <w:p w14:paraId="762321C5" w14:textId="77777777" w:rsidR="002B41DE" w:rsidRPr="00853E8C" w:rsidRDefault="002B41DE" w:rsidP="00853E8C">
      <w:pPr>
        <w:spacing w:after="0" w:line="300" w:lineRule="atLeast"/>
        <w:rPr>
          <w:rFonts w:ascii="Arial" w:hAnsi="Arial" w:cs="Arial"/>
        </w:rPr>
      </w:pPr>
    </w:p>
    <w:p w14:paraId="2B1F29D8" w14:textId="5CA54E78" w:rsidR="002B41DE" w:rsidRDefault="006301C0" w:rsidP="00A80448">
      <w:pPr>
        <w:pStyle w:val="ListParagraph"/>
        <w:numPr>
          <w:ilvl w:val="1"/>
          <w:numId w:val="43"/>
        </w:numPr>
        <w:spacing w:after="0" w:line="300" w:lineRule="atLeast"/>
        <w:ind w:left="709" w:hanging="709"/>
        <w:contextualSpacing w:val="0"/>
        <w:rPr>
          <w:rFonts w:ascii="Arial" w:hAnsi="Arial" w:cs="Arial"/>
        </w:rPr>
      </w:pPr>
      <w:r w:rsidRPr="00E810AA">
        <w:rPr>
          <w:rFonts w:ascii="Arial" w:hAnsi="Arial" w:cs="Arial"/>
        </w:rPr>
        <w:t>Evidence held by t</w:t>
      </w:r>
      <w:r w:rsidR="00375328">
        <w:rPr>
          <w:rFonts w:ascii="Arial" w:hAnsi="Arial" w:cs="Arial"/>
        </w:rPr>
        <w:t>he Council and Lancashire Police</w:t>
      </w:r>
      <w:r w:rsidRPr="00E810AA">
        <w:rPr>
          <w:rFonts w:ascii="Arial" w:hAnsi="Arial" w:cs="Arial"/>
        </w:rPr>
        <w:t xml:space="preserve"> highlights </w:t>
      </w:r>
      <w:r w:rsidR="00C16F94">
        <w:rPr>
          <w:rFonts w:ascii="Arial" w:hAnsi="Arial" w:cs="Arial"/>
        </w:rPr>
        <w:t xml:space="preserve">that </w:t>
      </w:r>
      <w:r w:rsidR="0025183B" w:rsidRPr="00E810AA">
        <w:rPr>
          <w:rFonts w:ascii="Arial" w:hAnsi="Arial" w:cs="Arial"/>
        </w:rPr>
        <w:t>area</w:t>
      </w:r>
      <w:r w:rsidR="0070431B" w:rsidRPr="00E810AA">
        <w:rPr>
          <w:rFonts w:ascii="Arial" w:hAnsi="Arial" w:cs="Arial"/>
        </w:rPr>
        <w:t>s</w:t>
      </w:r>
      <w:r w:rsidR="0025183B" w:rsidRPr="00E810AA">
        <w:rPr>
          <w:rFonts w:ascii="Arial" w:hAnsi="Arial" w:cs="Arial"/>
        </w:rPr>
        <w:t xml:space="preserve"> with higher concentration</w:t>
      </w:r>
      <w:r w:rsidR="00EF09BF">
        <w:rPr>
          <w:rFonts w:ascii="Arial" w:hAnsi="Arial" w:cs="Arial"/>
        </w:rPr>
        <w:t>s</w:t>
      </w:r>
      <w:r w:rsidR="0025183B" w:rsidRPr="00E810AA">
        <w:rPr>
          <w:rFonts w:ascii="Arial" w:hAnsi="Arial" w:cs="Arial"/>
        </w:rPr>
        <w:t xml:space="preserve"> of HMOs continue to have higher level</w:t>
      </w:r>
      <w:r w:rsidR="00C16F94">
        <w:rPr>
          <w:rFonts w:ascii="Arial" w:hAnsi="Arial" w:cs="Arial"/>
        </w:rPr>
        <w:t>s</w:t>
      </w:r>
      <w:r w:rsidR="0025183B" w:rsidRPr="00E810AA">
        <w:rPr>
          <w:rFonts w:ascii="Arial" w:hAnsi="Arial" w:cs="Arial"/>
        </w:rPr>
        <w:t xml:space="preserve"> of anti-social behaviour, </w:t>
      </w:r>
      <w:r w:rsidR="0025183B" w:rsidRPr="00E810AA">
        <w:rPr>
          <w:rFonts w:ascii="Arial" w:hAnsi="Arial" w:cs="Arial"/>
        </w:rPr>
        <w:lastRenderedPageBreak/>
        <w:t xml:space="preserve">noise, </w:t>
      </w:r>
      <w:r w:rsidR="00C16F94">
        <w:rPr>
          <w:rFonts w:ascii="Arial" w:hAnsi="Arial" w:cs="Arial"/>
        </w:rPr>
        <w:t xml:space="preserve">and </w:t>
      </w:r>
      <w:r w:rsidR="0025183B" w:rsidRPr="00E810AA">
        <w:rPr>
          <w:rFonts w:ascii="Arial" w:hAnsi="Arial" w:cs="Arial"/>
        </w:rPr>
        <w:t xml:space="preserve">refuse complaints. </w:t>
      </w:r>
      <w:r w:rsidR="00375328">
        <w:rPr>
          <w:rFonts w:ascii="Arial" w:hAnsi="Arial" w:cs="Arial"/>
        </w:rPr>
        <w:t xml:space="preserve"> </w:t>
      </w:r>
      <w:r w:rsidR="002516F0">
        <w:rPr>
          <w:rFonts w:ascii="Arial" w:hAnsi="Arial" w:cs="Arial"/>
        </w:rPr>
        <w:t>Overall,</w:t>
      </w:r>
      <w:r w:rsidR="00CE695B">
        <w:rPr>
          <w:rFonts w:ascii="Arial" w:hAnsi="Arial" w:cs="Arial"/>
        </w:rPr>
        <w:t xml:space="preserve"> the Borough has </w:t>
      </w:r>
      <w:r w:rsidR="002516F0">
        <w:rPr>
          <w:rFonts w:ascii="Arial" w:hAnsi="Arial" w:cs="Arial"/>
        </w:rPr>
        <w:t>quite a high crime rate</w:t>
      </w:r>
      <w:r w:rsidR="00EF09BF">
        <w:rPr>
          <w:rFonts w:ascii="Arial" w:hAnsi="Arial" w:cs="Arial"/>
        </w:rPr>
        <w:t>. A</w:t>
      </w:r>
      <w:r w:rsidR="002516F0">
        <w:rPr>
          <w:rFonts w:ascii="Arial" w:hAnsi="Arial" w:cs="Arial"/>
        </w:rPr>
        <w:t>ccording to statistics</w:t>
      </w:r>
      <w:r w:rsidR="00EF09BF">
        <w:rPr>
          <w:rFonts w:ascii="Arial" w:hAnsi="Arial" w:cs="Arial"/>
        </w:rPr>
        <w:t>,</w:t>
      </w:r>
      <w:r w:rsidR="002516F0">
        <w:rPr>
          <w:rFonts w:ascii="Arial" w:hAnsi="Arial" w:cs="Arial"/>
        </w:rPr>
        <w:t xml:space="preserve"> the crime rate of the Borough is 138 crimes per thousand resident population, with anti-social behaviour</w:t>
      </w:r>
      <w:r w:rsidR="00C16F94">
        <w:rPr>
          <w:rFonts w:ascii="Arial" w:hAnsi="Arial" w:cs="Arial"/>
        </w:rPr>
        <w:t>,</w:t>
      </w:r>
      <w:r w:rsidR="002516F0">
        <w:rPr>
          <w:rFonts w:ascii="Arial" w:hAnsi="Arial" w:cs="Arial"/>
        </w:rPr>
        <w:t xml:space="preserve"> violence and sexual offences being the most prolific.</w:t>
      </w:r>
    </w:p>
    <w:p w14:paraId="041E09B0" w14:textId="77777777" w:rsidR="00EF09BF" w:rsidRDefault="00EF09BF" w:rsidP="00EF09BF">
      <w:pPr>
        <w:pStyle w:val="ListParagraph"/>
        <w:spacing w:after="0" w:line="300" w:lineRule="atLeast"/>
        <w:ind w:left="709"/>
        <w:contextualSpacing w:val="0"/>
        <w:rPr>
          <w:rFonts w:ascii="Arial" w:hAnsi="Arial" w:cs="Arial"/>
        </w:rPr>
      </w:pPr>
    </w:p>
    <w:p w14:paraId="202A2D0F" w14:textId="337FA4DD" w:rsidR="009A3C71" w:rsidRDefault="00850765" w:rsidP="00A80448">
      <w:pPr>
        <w:pStyle w:val="ListParagraph"/>
        <w:numPr>
          <w:ilvl w:val="1"/>
          <w:numId w:val="43"/>
        </w:numPr>
        <w:spacing w:after="0" w:line="300" w:lineRule="atLeast"/>
        <w:ind w:left="709" w:hanging="710"/>
        <w:contextualSpacing w:val="0"/>
        <w:rPr>
          <w:rFonts w:ascii="Arial" w:hAnsi="Arial" w:cs="Arial"/>
        </w:rPr>
      </w:pPr>
      <w:r>
        <w:rPr>
          <w:rFonts w:ascii="Arial" w:hAnsi="Arial" w:cs="Arial"/>
        </w:rPr>
        <w:t>I</w:t>
      </w:r>
      <w:r w:rsidR="009A3C71">
        <w:rPr>
          <w:rFonts w:ascii="Arial" w:hAnsi="Arial" w:cs="Arial"/>
        </w:rPr>
        <w:t>t can be seen from the table below that crime is present in</w:t>
      </w:r>
      <w:r w:rsidR="00C16F94">
        <w:rPr>
          <w:rFonts w:ascii="Arial" w:hAnsi="Arial" w:cs="Arial"/>
        </w:rPr>
        <w:t xml:space="preserve"> varying numbers in</w:t>
      </w:r>
      <w:r w:rsidR="009A3C71">
        <w:rPr>
          <w:rFonts w:ascii="Arial" w:hAnsi="Arial" w:cs="Arial"/>
        </w:rPr>
        <w:t xml:space="preserve"> all the Wards of the Borough.</w:t>
      </w:r>
    </w:p>
    <w:p w14:paraId="7959F229" w14:textId="77777777" w:rsidR="009A3C71" w:rsidRDefault="009A3C71" w:rsidP="009A3C71">
      <w:pPr>
        <w:pStyle w:val="ListParagraph"/>
        <w:spacing w:after="0" w:line="300" w:lineRule="atLeast"/>
        <w:ind w:left="709"/>
        <w:contextualSpacing w:val="0"/>
        <w:rPr>
          <w:rFonts w:ascii="Arial" w:hAnsi="Arial" w:cs="Arial"/>
        </w:rPr>
      </w:pPr>
    </w:p>
    <w:p w14:paraId="10D6BECD" w14:textId="147C2379" w:rsidR="009A3C71" w:rsidRPr="00EF09BF" w:rsidRDefault="009A3C71" w:rsidP="00EF09BF">
      <w:pPr>
        <w:pStyle w:val="Caption"/>
        <w:keepNext/>
        <w:ind w:firstLine="709"/>
        <w:rPr>
          <w:rFonts w:ascii="Arial" w:hAnsi="Arial" w:cs="Arial"/>
          <w:b/>
          <w:bCs/>
          <w:i w:val="0"/>
          <w:iCs w:val="0"/>
          <w:color w:val="000000" w:themeColor="text1"/>
          <w:sz w:val="22"/>
          <w:szCs w:val="22"/>
        </w:rPr>
      </w:pPr>
      <w:r w:rsidRPr="00EF09BF">
        <w:rPr>
          <w:rFonts w:ascii="Arial" w:hAnsi="Arial" w:cs="Arial"/>
          <w:b/>
          <w:bCs/>
          <w:i w:val="0"/>
          <w:iCs w:val="0"/>
          <w:color w:val="000000" w:themeColor="text1"/>
          <w:sz w:val="22"/>
          <w:szCs w:val="22"/>
        </w:rPr>
        <w:t>Table</w:t>
      </w:r>
      <w:r w:rsidR="00C16F94" w:rsidRPr="00EF09BF">
        <w:rPr>
          <w:rFonts w:ascii="Arial" w:hAnsi="Arial" w:cs="Arial"/>
          <w:b/>
          <w:bCs/>
          <w:i w:val="0"/>
          <w:iCs w:val="0"/>
          <w:color w:val="000000" w:themeColor="text1"/>
          <w:sz w:val="22"/>
          <w:szCs w:val="22"/>
        </w:rPr>
        <w:t xml:space="preserve"> </w:t>
      </w:r>
      <w:r w:rsidR="00EF09BF" w:rsidRPr="00EF09BF">
        <w:rPr>
          <w:rFonts w:ascii="Arial" w:hAnsi="Arial" w:cs="Arial"/>
          <w:b/>
          <w:bCs/>
          <w:i w:val="0"/>
          <w:iCs w:val="0"/>
          <w:color w:val="000000" w:themeColor="text1"/>
          <w:sz w:val="22"/>
          <w:szCs w:val="22"/>
        </w:rPr>
        <w:t>10</w:t>
      </w:r>
      <w:r w:rsidRPr="00EF09BF">
        <w:rPr>
          <w:rFonts w:ascii="Arial" w:hAnsi="Arial" w:cs="Arial"/>
          <w:b/>
          <w:bCs/>
          <w:i w:val="0"/>
          <w:iCs w:val="0"/>
          <w:color w:val="000000" w:themeColor="text1"/>
          <w:sz w:val="22"/>
          <w:szCs w:val="22"/>
        </w:rPr>
        <w:t xml:space="preserve"> - Crimes per Ward </w:t>
      </w:r>
      <w:r w:rsidR="00EF09BF">
        <w:rPr>
          <w:rFonts w:ascii="Arial" w:hAnsi="Arial" w:cs="Arial"/>
          <w:b/>
          <w:bCs/>
          <w:i w:val="0"/>
          <w:iCs w:val="0"/>
          <w:color w:val="000000" w:themeColor="text1"/>
          <w:sz w:val="22"/>
          <w:szCs w:val="22"/>
        </w:rPr>
        <w:t>(</w:t>
      </w:r>
      <w:r w:rsidRPr="00EF09BF">
        <w:rPr>
          <w:rFonts w:ascii="Arial" w:hAnsi="Arial" w:cs="Arial"/>
          <w:b/>
          <w:bCs/>
          <w:i w:val="0"/>
          <w:iCs w:val="0"/>
          <w:color w:val="000000" w:themeColor="text1"/>
          <w:sz w:val="22"/>
          <w:szCs w:val="22"/>
        </w:rPr>
        <w:t>Source Data.Police.UK Jan25 to Dec25</w:t>
      </w:r>
      <w:r w:rsidR="00EF09BF">
        <w:rPr>
          <w:rFonts w:ascii="Arial" w:hAnsi="Arial" w:cs="Arial"/>
          <w:b/>
          <w:bCs/>
          <w:i w:val="0"/>
          <w:iCs w:val="0"/>
          <w:color w:val="000000" w:themeColor="text1"/>
          <w:sz w:val="22"/>
          <w:szCs w:val="22"/>
        </w:rPr>
        <w:t>)</w:t>
      </w:r>
    </w:p>
    <w:p w14:paraId="06FCB620" w14:textId="34BD8D3C" w:rsidR="009A3C71" w:rsidRDefault="00C16F94" w:rsidP="00EF09BF">
      <w:pPr>
        <w:pStyle w:val="ListParagraph"/>
        <w:spacing w:after="0" w:line="300" w:lineRule="atLeast"/>
        <w:ind w:left="709"/>
        <w:contextualSpacing w:val="0"/>
        <w:jc w:val="center"/>
        <w:rPr>
          <w:rFonts w:ascii="Arial" w:hAnsi="Arial" w:cs="Arial"/>
        </w:rPr>
      </w:pPr>
      <w:r w:rsidRPr="00C16F94">
        <w:rPr>
          <w:noProof/>
        </w:rPr>
        <w:drawing>
          <wp:inline distT="0" distB="0" distL="0" distR="0" wp14:anchorId="42F6215D" wp14:editId="3A6410DC">
            <wp:extent cx="4030980" cy="4398158"/>
            <wp:effectExtent l="0" t="0" r="7620" b="2540"/>
            <wp:docPr id="9481570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1394" cy="4398610"/>
                    </a:xfrm>
                    <a:prstGeom prst="rect">
                      <a:avLst/>
                    </a:prstGeom>
                    <a:noFill/>
                    <a:ln>
                      <a:noFill/>
                    </a:ln>
                  </pic:spPr>
                </pic:pic>
              </a:graphicData>
            </a:graphic>
          </wp:inline>
        </w:drawing>
      </w:r>
    </w:p>
    <w:p w14:paraId="0E01C5E0" w14:textId="77777777" w:rsidR="009A3C71" w:rsidRPr="00EF09BF" w:rsidRDefault="009A3C71" w:rsidP="00EF09BF">
      <w:pPr>
        <w:spacing w:after="0" w:line="300" w:lineRule="atLeast"/>
        <w:rPr>
          <w:rFonts w:ascii="Arial" w:hAnsi="Arial" w:cs="Arial"/>
        </w:rPr>
      </w:pPr>
    </w:p>
    <w:p w14:paraId="7C4CB500" w14:textId="41513663" w:rsidR="009A3C71" w:rsidRDefault="00375328" w:rsidP="00A80448">
      <w:pPr>
        <w:pStyle w:val="ListParagraph"/>
        <w:numPr>
          <w:ilvl w:val="1"/>
          <w:numId w:val="43"/>
        </w:numPr>
        <w:spacing w:after="0" w:line="300" w:lineRule="atLeast"/>
        <w:ind w:left="709" w:hanging="709"/>
        <w:rPr>
          <w:rFonts w:ascii="Arial" w:hAnsi="Arial" w:cs="Arial"/>
        </w:rPr>
      </w:pPr>
      <w:r w:rsidRPr="009A3C71">
        <w:rPr>
          <w:rFonts w:ascii="Arial" w:hAnsi="Arial" w:cs="Arial"/>
        </w:rPr>
        <w:t>As already discussed, HMOs provide affordable accommodation</w:t>
      </w:r>
      <w:r w:rsidR="00326632" w:rsidRPr="009A3C71">
        <w:rPr>
          <w:rFonts w:ascii="Arial" w:hAnsi="Arial" w:cs="Arial"/>
        </w:rPr>
        <w:t xml:space="preserve"> in Hyndburn for </w:t>
      </w:r>
      <w:r w:rsidR="009A3C71" w:rsidRPr="009A3C71">
        <w:rPr>
          <w:rFonts w:ascii="Arial" w:hAnsi="Arial" w:cs="Arial"/>
        </w:rPr>
        <w:t>young</w:t>
      </w:r>
      <w:r w:rsidR="00326632" w:rsidRPr="009A3C71">
        <w:rPr>
          <w:rFonts w:ascii="Arial" w:hAnsi="Arial" w:cs="Arial"/>
        </w:rPr>
        <w:t xml:space="preserve"> professionals, low-income household who may be economically inactive or working in low paid jobs</w:t>
      </w:r>
      <w:r w:rsidR="00EF09BF">
        <w:rPr>
          <w:rFonts w:ascii="Arial" w:hAnsi="Arial" w:cs="Arial"/>
        </w:rPr>
        <w:t>. It</w:t>
      </w:r>
      <w:r w:rsidR="00326632" w:rsidRPr="009A3C71">
        <w:rPr>
          <w:rFonts w:ascii="Arial" w:hAnsi="Arial" w:cs="Arial"/>
        </w:rPr>
        <w:t xml:space="preserve"> is</w:t>
      </w:r>
      <w:r w:rsidR="00EF09BF">
        <w:rPr>
          <w:rFonts w:ascii="Arial" w:hAnsi="Arial" w:cs="Arial"/>
        </w:rPr>
        <w:t>,</w:t>
      </w:r>
      <w:r w:rsidR="00326632" w:rsidRPr="009A3C71">
        <w:rPr>
          <w:rFonts w:ascii="Arial" w:hAnsi="Arial" w:cs="Arial"/>
        </w:rPr>
        <w:t xml:space="preserve"> however</w:t>
      </w:r>
      <w:r w:rsidR="00EF09BF">
        <w:rPr>
          <w:rFonts w:ascii="Arial" w:hAnsi="Arial" w:cs="Arial"/>
        </w:rPr>
        <w:t>,</w:t>
      </w:r>
      <w:r w:rsidR="00326632" w:rsidRPr="009A3C71">
        <w:rPr>
          <w:rFonts w:ascii="Arial" w:hAnsi="Arial" w:cs="Arial"/>
        </w:rPr>
        <w:t xml:space="preserve"> noted that </w:t>
      </w:r>
      <w:r w:rsidR="0007474B" w:rsidRPr="009A3C71">
        <w:rPr>
          <w:rFonts w:ascii="Arial" w:hAnsi="Arial" w:cs="Arial"/>
        </w:rPr>
        <w:t>a</w:t>
      </w:r>
      <w:r w:rsidR="00326632" w:rsidRPr="009A3C71">
        <w:rPr>
          <w:rFonts w:ascii="Arial" w:hAnsi="Arial" w:cs="Arial"/>
        </w:rPr>
        <w:t xml:space="preserve"> </w:t>
      </w:r>
      <w:r w:rsidR="00BE426C" w:rsidRPr="009A3C71">
        <w:rPr>
          <w:rFonts w:ascii="Arial" w:hAnsi="Arial" w:cs="Arial"/>
        </w:rPr>
        <w:t>proportion of</w:t>
      </w:r>
      <w:r w:rsidR="00326632" w:rsidRPr="009A3C71">
        <w:rPr>
          <w:rFonts w:ascii="Arial" w:hAnsi="Arial" w:cs="Arial"/>
        </w:rPr>
        <w:t xml:space="preserve"> existing HMOs are contracted with Government Partnerships to provide transient bed spaces for homeless referrals, prison release referrals and violent offenders (subject to bail conditions).</w:t>
      </w:r>
      <w:r w:rsidRPr="009A3C71">
        <w:rPr>
          <w:rFonts w:ascii="Arial" w:hAnsi="Arial" w:cs="Arial"/>
        </w:rPr>
        <w:t xml:space="preserve"> </w:t>
      </w:r>
      <w:r w:rsidR="00326632" w:rsidRPr="009A3C71">
        <w:rPr>
          <w:rFonts w:ascii="Arial" w:hAnsi="Arial" w:cs="Arial"/>
        </w:rPr>
        <w:t xml:space="preserve"> It is understood that most of those referrals are for the people from outside the Borough and the County.</w:t>
      </w:r>
      <w:r w:rsidR="00BE426C" w:rsidRPr="009A3C71">
        <w:rPr>
          <w:rFonts w:ascii="Arial" w:hAnsi="Arial" w:cs="Arial"/>
        </w:rPr>
        <w:t xml:space="preserve"> </w:t>
      </w:r>
    </w:p>
    <w:p w14:paraId="25C8AB8D" w14:textId="77777777" w:rsidR="009A3C71" w:rsidRPr="009A3C71" w:rsidRDefault="009A3C71" w:rsidP="009A3C71">
      <w:pPr>
        <w:pStyle w:val="ListParagraph"/>
        <w:rPr>
          <w:rFonts w:ascii="Arial" w:hAnsi="Arial" w:cs="Arial"/>
        </w:rPr>
      </w:pPr>
    </w:p>
    <w:p w14:paraId="565CEC1A" w14:textId="64EF4CDE" w:rsidR="002411ED" w:rsidRDefault="00326632" w:rsidP="00AB48BC">
      <w:pPr>
        <w:pStyle w:val="ListParagraph"/>
        <w:numPr>
          <w:ilvl w:val="1"/>
          <w:numId w:val="43"/>
        </w:numPr>
        <w:spacing w:after="0" w:line="300" w:lineRule="atLeast"/>
        <w:ind w:left="709" w:hanging="709"/>
        <w:contextualSpacing w:val="0"/>
        <w:rPr>
          <w:rFonts w:ascii="Arial" w:hAnsi="Arial" w:cs="Arial"/>
        </w:rPr>
      </w:pPr>
      <w:r w:rsidRPr="00EF09BF">
        <w:rPr>
          <w:rFonts w:ascii="Arial" w:hAnsi="Arial" w:cs="Arial"/>
        </w:rPr>
        <w:t>Alongside HMOs in the private rent</w:t>
      </w:r>
      <w:r w:rsidR="009A3C71" w:rsidRPr="00EF09BF">
        <w:rPr>
          <w:rFonts w:ascii="Arial" w:hAnsi="Arial" w:cs="Arial"/>
        </w:rPr>
        <w:t>ed</w:t>
      </w:r>
      <w:r w:rsidRPr="00EF09BF">
        <w:rPr>
          <w:rFonts w:ascii="Arial" w:hAnsi="Arial" w:cs="Arial"/>
        </w:rPr>
        <w:t xml:space="preserve"> sector, </w:t>
      </w:r>
      <w:r w:rsidR="008619CF" w:rsidRPr="00EF09BF">
        <w:rPr>
          <w:rFonts w:ascii="Arial" w:hAnsi="Arial" w:cs="Arial"/>
        </w:rPr>
        <w:t xml:space="preserve">the concentration </w:t>
      </w:r>
      <w:r w:rsidR="009A3C71" w:rsidRPr="00EF09BF">
        <w:rPr>
          <w:rFonts w:ascii="Arial" w:hAnsi="Arial" w:cs="Arial"/>
        </w:rPr>
        <w:t xml:space="preserve">of </w:t>
      </w:r>
      <w:r w:rsidR="008619CF" w:rsidRPr="00EF09BF">
        <w:rPr>
          <w:rFonts w:ascii="Arial" w:hAnsi="Arial" w:cs="Arial"/>
        </w:rPr>
        <w:t>specialist HMOs in a</w:t>
      </w:r>
      <w:r w:rsidRPr="00EF09BF">
        <w:rPr>
          <w:rFonts w:ascii="Arial" w:hAnsi="Arial" w:cs="Arial"/>
        </w:rPr>
        <w:t>reas with high crime level</w:t>
      </w:r>
      <w:r w:rsidR="00EF09BF" w:rsidRPr="00EF09BF">
        <w:rPr>
          <w:rFonts w:ascii="Arial" w:hAnsi="Arial" w:cs="Arial"/>
        </w:rPr>
        <w:t>s</w:t>
      </w:r>
      <w:r w:rsidRPr="00EF09BF">
        <w:rPr>
          <w:rFonts w:ascii="Arial" w:hAnsi="Arial" w:cs="Arial"/>
        </w:rPr>
        <w:t xml:space="preserve"> could</w:t>
      </w:r>
      <w:r w:rsidR="008619CF" w:rsidRPr="00EF09BF">
        <w:rPr>
          <w:rFonts w:ascii="Arial" w:hAnsi="Arial" w:cs="Arial"/>
        </w:rPr>
        <w:t xml:space="preserve"> make it more difficult</w:t>
      </w:r>
      <w:r w:rsidRPr="00EF09BF">
        <w:rPr>
          <w:rFonts w:ascii="Arial" w:hAnsi="Arial" w:cs="Arial"/>
        </w:rPr>
        <w:t xml:space="preserve"> </w:t>
      </w:r>
      <w:r w:rsidR="008619CF" w:rsidRPr="00EF09BF">
        <w:rPr>
          <w:rFonts w:ascii="Arial" w:hAnsi="Arial" w:cs="Arial"/>
        </w:rPr>
        <w:t>to tackle</w:t>
      </w:r>
      <w:r w:rsidR="001F4BC1" w:rsidRPr="00EF09BF">
        <w:rPr>
          <w:rFonts w:ascii="Arial" w:hAnsi="Arial" w:cs="Arial"/>
        </w:rPr>
        <w:t xml:space="preserve"> </w:t>
      </w:r>
      <w:r w:rsidR="008619CF" w:rsidRPr="00EF09BF">
        <w:rPr>
          <w:rFonts w:ascii="Arial" w:hAnsi="Arial" w:cs="Arial"/>
        </w:rPr>
        <w:t xml:space="preserve">crime and anti-social </w:t>
      </w:r>
      <w:r w:rsidR="004C2D3E" w:rsidRPr="00EF09BF">
        <w:rPr>
          <w:rFonts w:ascii="Arial" w:hAnsi="Arial" w:cs="Arial"/>
        </w:rPr>
        <w:t>behaviour and</w:t>
      </w:r>
      <w:r w:rsidRPr="00EF09BF">
        <w:rPr>
          <w:rFonts w:ascii="Arial" w:hAnsi="Arial" w:cs="Arial"/>
        </w:rPr>
        <w:t xml:space="preserve"> </w:t>
      </w:r>
      <w:r w:rsidR="009A3C71" w:rsidRPr="00EF09BF">
        <w:rPr>
          <w:rFonts w:ascii="Arial" w:hAnsi="Arial" w:cs="Arial"/>
        </w:rPr>
        <w:t xml:space="preserve">could </w:t>
      </w:r>
      <w:r w:rsidRPr="00EF09BF">
        <w:rPr>
          <w:rFonts w:ascii="Arial" w:hAnsi="Arial" w:cs="Arial"/>
        </w:rPr>
        <w:t xml:space="preserve">eventually result in </w:t>
      </w:r>
      <w:r w:rsidR="009A3C71" w:rsidRPr="00EF09BF">
        <w:rPr>
          <w:rFonts w:ascii="Arial" w:hAnsi="Arial" w:cs="Arial"/>
        </w:rPr>
        <w:t xml:space="preserve">the </w:t>
      </w:r>
      <w:r w:rsidRPr="00EF09BF">
        <w:rPr>
          <w:rFonts w:ascii="Arial" w:hAnsi="Arial" w:cs="Arial"/>
        </w:rPr>
        <w:t xml:space="preserve">marginalisation of local families. </w:t>
      </w:r>
      <w:r w:rsidR="00375328" w:rsidRPr="00EF09BF">
        <w:rPr>
          <w:rFonts w:ascii="Arial" w:hAnsi="Arial" w:cs="Arial"/>
        </w:rPr>
        <w:t xml:space="preserve"> </w:t>
      </w:r>
      <w:r w:rsidR="008619CF" w:rsidRPr="00EF09BF">
        <w:rPr>
          <w:rFonts w:ascii="Arial" w:hAnsi="Arial" w:cs="Arial"/>
        </w:rPr>
        <w:t>Therefore, based</w:t>
      </w:r>
      <w:r w:rsidR="00CB2C77" w:rsidRPr="00EF09BF">
        <w:rPr>
          <w:rFonts w:ascii="Arial" w:hAnsi="Arial" w:cs="Arial"/>
        </w:rPr>
        <w:t xml:space="preserve"> on the information currently available, it is considered that managing the distribution of further HMO development </w:t>
      </w:r>
      <w:r w:rsidR="004A44CC" w:rsidRPr="00EF09BF">
        <w:rPr>
          <w:rFonts w:ascii="Arial" w:hAnsi="Arial" w:cs="Arial"/>
        </w:rPr>
        <w:t xml:space="preserve">in the Borough would avoid </w:t>
      </w:r>
      <w:r w:rsidR="004A44CC" w:rsidRPr="00EF09BF">
        <w:rPr>
          <w:rFonts w:ascii="Arial" w:hAnsi="Arial" w:cs="Arial"/>
        </w:rPr>
        <w:lastRenderedPageBreak/>
        <w:t xml:space="preserve">further concentration of HMOs in areas and could potentially mitigate against future amenity impacts and crime. </w:t>
      </w:r>
    </w:p>
    <w:p w14:paraId="74F3C0D1" w14:textId="77777777" w:rsidR="00EF09BF" w:rsidRPr="00EF09BF" w:rsidRDefault="00EF09BF" w:rsidP="00EF09BF">
      <w:pPr>
        <w:spacing w:after="0" w:line="300" w:lineRule="atLeast"/>
        <w:rPr>
          <w:rFonts w:ascii="Arial" w:hAnsi="Arial" w:cs="Arial"/>
        </w:rPr>
      </w:pPr>
    </w:p>
    <w:p w14:paraId="45DA8746" w14:textId="521CA608" w:rsidR="0092487F" w:rsidRDefault="00E361C7" w:rsidP="00A80448">
      <w:pPr>
        <w:pStyle w:val="ListParagraph"/>
        <w:numPr>
          <w:ilvl w:val="1"/>
          <w:numId w:val="43"/>
        </w:numPr>
        <w:spacing w:after="0" w:line="300" w:lineRule="atLeast"/>
        <w:ind w:left="709" w:hanging="710"/>
        <w:contextualSpacing w:val="0"/>
        <w:rPr>
          <w:rFonts w:ascii="Arial" w:hAnsi="Arial" w:cs="Arial"/>
        </w:rPr>
      </w:pPr>
      <w:r w:rsidRPr="00E810AA">
        <w:rPr>
          <w:rFonts w:ascii="Arial" w:hAnsi="Arial" w:cs="Arial"/>
        </w:rPr>
        <w:t xml:space="preserve">It is considered that monitoring and managing the spatial distribution and impact of the HMOs </w:t>
      </w:r>
      <w:r w:rsidR="00B81338" w:rsidRPr="00E810AA">
        <w:rPr>
          <w:rFonts w:ascii="Arial" w:hAnsi="Arial" w:cs="Arial"/>
        </w:rPr>
        <w:t xml:space="preserve">will allow the Council to identify if it is necessary to prevent </w:t>
      </w:r>
      <w:r w:rsidR="004C2D3E">
        <w:rPr>
          <w:rFonts w:ascii="Arial" w:hAnsi="Arial" w:cs="Arial"/>
        </w:rPr>
        <w:t xml:space="preserve">an </w:t>
      </w:r>
      <w:r w:rsidR="00326632" w:rsidRPr="00E810AA">
        <w:rPr>
          <w:rFonts w:ascii="Arial" w:hAnsi="Arial" w:cs="Arial"/>
        </w:rPr>
        <w:t>unmanaged</w:t>
      </w:r>
      <w:r w:rsidR="00B81338" w:rsidRPr="00E810AA">
        <w:rPr>
          <w:rFonts w:ascii="Arial" w:hAnsi="Arial" w:cs="Arial"/>
        </w:rPr>
        <w:t xml:space="preserve"> increase in the number of HMOs </w:t>
      </w:r>
      <w:r w:rsidR="004C2D3E">
        <w:rPr>
          <w:rFonts w:ascii="Arial" w:hAnsi="Arial" w:cs="Arial"/>
        </w:rPr>
        <w:t xml:space="preserve">across the Borough </w:t>
      </w:r>
      <w:r w:rsidR="00B81338" w:rsidRPr="00E810AA">
        <w:rPr>
          <w:rFonts w:ascii="Arial" w:hAnsi="Arial" w:cs="Arial"/>
        </w:rPr>
        <w:t>to ensure communities do not</w:t>
      </w:r>
      <w:r w:rsidR="004C2D3E">
        <w:rPr>
          <w:rFonts w:ascii="Arial" w:hAnsi="Arial" w:cs="Arial"/>
        </w:rPr>
        <w:t xml:space="preserve"> </w:t>
      </w:r>
      <w:r w:rsidR="00B81338" w:rsidRPr="00E810AA">
        <w:rPr>
          <w:rFonts w:ascii="Arial" w:hAnsi="Arial" w:cs="Arial"/>
        </w:rPr>
        <w:t>become imbalanced</w:t>
      </w:r>
      <w:r w:rsidR="00EF09BF">
        <w:rPr>
          <w:rFonts w:ascii="Arial" w:hAnsi="Arial" w:cs="Arial"/>
        </w:rPr>
        <w:t xml:space="preserve"> </w:t>
      </w:r>
      <w:r w:rsidR="00EF09BF">
        <w:rPr>
          <w:rFonts w:ascii="Arial" w:hAnsi="Arial" w:cs="Arial"/>
        </w:rPr>
        <w:t>in the future</w:t>
      </w:r>
      <w:r w:rsidR="00B81338" w:rsidRPr="00E810AA">
        <w:rPr>
          <w:rFonts w:ascii="Arial" w:hAnsi="Arial" w:cs="Arial"/>
        </w:rPr>
        <w:t xml:space="preserve">. </w:t>
      </w:r>
      <w:r w:rsidR="00375328">
        <w:rPr>
          <w:rFonts w:ascii="Arial" w:hAnsi="Arial" w:cs="Arial"/>
        </w:rPr>
        <w:t xml:space="preserve"> </w:t>
      </w:r>
      <w:r w:rsidR="0092487F" w:rsidRPr="00E810AA">
        <w:rPr>
          <w:rFonts w:ascii="Arial" w:hAnsi="Arial" w:cs="Arial"/>
        </w:rPr>
        <w:t>A</w:t>
      </w:r>
      <w:r w:rsidR="00B81338" w:rsidRPr="00E810AA">
        <w:rPr>
          <w:rFonts w:ascii="Arial" w:hAnsi="Arial" w:cs="Arial"/>
        </w:rPr>
        <w:t>s</w:t>
      </w:r>
      <w:r w:rsidR="0092487F" w:rsidRPr="00E810AA">
        <w:rPr>
          <w:rFonts w:ascii="Arial" w:hAnsi="Arial" w:cs="Arial"/>
        </w:rPr>
        <w:t xml:space="preserve"> discussed in Section 3, such control can be achieved through an Article 4 Direction and the removal of permitted development rights, requiring landlords to apply for planning permission to change a property into a HMO. </w:t>
      </w:r>
    </w:p>
    <w:p w14:paraId="6B845C7F" w14:textId="77777777" w:rsidR="002411ED" w:rsidRDefault="002411ED" w:rsidP="002411ED">
      <w:pPr>
        <w:pStyle w:val="ListParagraph"/>
        <w:spacing w:after="0" w:line="300" w:lineRule="atLeast"/>
        <w:ind w:left="709"/>
        <w:contextualSpacing w:val="0"/>
        <w:rPr>
          <w:rFonts w:ascii="Arial" w:hAnsi="Arial" w:cs="Arial"/>
        </w:rPr>
      </w:pPr>
    </w:p>
    <w:p w14:paraId="1976CF35" w14:textId="77777777" w:rsidR="00326632" w:rsidRPr="002411ED" w:rsidRDefault="00326632" w:rsidP="002411ED">
      <w:pPr>
        <w:spacing w:after="0" w:line="300" w:lineRule="atLeast"/>
        <w:ind w:firstLine="709"/>
        <w:rPr>
          <w:rFonts w:ascii="Arial" w:hAnsi="Arial" w:cs="Arial"/>
          <w:b/>
        </w:rPr>
      </w:pPr>
      <w:r w:rsidRPr="002411ED">
        <w:rPr>
          <w:rFonts w:ascii="Arial" w:hAnsi="Arial" w:cs="Arial"/>
          <w:b/>
        </w:rPr>
        <w:t xml:space="preserve">Amenity Impacts on the Neighbourhoods </w:t>
      </w:r>
    </w:p>
    <w:p w14:paraId="7DF7EE81" w14:textId="77777777" w:rsidR="002411ED" w:rsidRPr="002411ED" w:rsidRDefault="002411ED" w:rsidP="002411ED">
      <w:pPr>
        <w:spacing w:after="0" w:line="300" w:lineRule="atLeast"/>
        <w:ind w:firstLine="709"/>
        <w:rPr>
          <w:rFonts w:ascii="Arial" w:hAnsi="Arial" w:cs="Arial"/>
        </w:rPr>
      </w:pPr>
    </w:p>
    <w:p w14:paraId="2B85CB4B" w14:textId="77777777" w:rsidR="00326632" w:rsidRDefault="00326632" w:rsidP="00A80448">
      <w:pPr>
        <w:pStyle w:val="ListParagraph"/>
        <w:numPr>
          <w:ilvl w:val="1"/>
          <w:numId w:val="43"/>
        </w:numPr>
        <w:spacing w:after="0" w:line="300" w:lineRule="atLeast"/>
        <w:ind w:left="709" w:hanging="709"/>
        <w:contextualSpacing w:val="0"/>
        <w:rPr>
          <w:rFonts w:ascii="Arial" w:hAnsi="Arial" w:cs="Arial"/>
        </w:rPr>
      </w:pPr>
      <w:r w:rsidRPr="00E810AA">
        <w:rPr>
          <w:rFonts w:ascii="Arial" w:hAnsi="Arial" w:cs="Arial"/>
        </w:rPr>
        <w:t xml:space="preserve">A report by </w:t>
      </w:r>
      <w:proofErr w:type="spellStart"/>
      <w:r w:rsidRPr="00E810AA">
        <w:rPr>
          <w:rFonts w:ascii="Arial" w:hAnsi="Arial" w:cs="Arial"/>
        </w:rPr>
        <w:t>Ecotect</w:t>
      </w:r>
      <w:proofErr w:type="spellEnd"/>
      <w:r w:rsidRPr="00E810AA">
        <w:rPr>
          <w:rFonts w:ascii="Arial" w:hAnsi="Arial" w:cs="Arial"/>
        </w:rPr>
        <w:t xml:space="preserve"> that was commissioned by the Government entitled ‘Evidence Gathering – Housing in Multiple Occupation and Possible Planning Responses’ (CLG, 2008) found that the poor management of rented HMO accommodation can lead to amenity and character </w:t>
      </w:r>
      <w:r w:rsidR="00696A47">
        <w:rPr>
          <w:rFonts w:ascii="Arial" w:hAnsi="Arial" w:cs="Arial"/>
        </w:rPr>
        <w:t>issues which directly affect local communities</w:t>
      </w:r>
      <w:r w:rsidRPr="00E810AA">
        <w:rPr>
          <w:rFonts w:ascii="Arial" w:hAnsi="Arial" w:cs="Arial"/>
        </w:rPr>
        <w:t xml:space="preserve">. </w:t>
      </w:r>
      <w:r w:rsidR="00696A47">
        <w:rPr>
          <w:rFonts w:ascii="Arial" w:hAnsi="Arial" w:cs="Arial"/>
        </w:rPr>
        <w:t xml:space="preserve"> </w:t>
      </w:r>
      <w:r w:rsidRPr="00E810AA">
        <w:rPr>
          <w:rFonts w:ascii="Arial" w:hAnsi="Arial" w:cs="Arial"/>
        </w:rPr>
        <w:t>These issues can include poor refuse management; on-street parking pressure; noise and anti-social behaviour; high property turnover; neglected gardens and lack of maintenance to housing stock.</w:t>
      </w:r>
      <w:r w:rsidR="00696A47">
        <w:rPr>
          <w:rFonts w:ascii="Arial" w:hAnsi="Arial" w:cs="Arial"/>
        </w:rPr>
        <w:t xml:space="preserve"> </w:t>
      </w:r>
      <w:r w:rsidRPr="00E810AA">
        <w:rPr>
          <w:rFonts w:ascii="Arial" w:hAnsi="Arial" w:cs="Arial"/>
        </w:rPr>
        <w:t xml:space="preserve"> These issues tend to be exacerbated where there is a high concentration of HMOs. </w:t>
      </w:r>
    </w:p>
    <w:p w14:paraId="46D4BC9C" w14:textId="77777777" w:rsidR="002411ED" w:rsidRPr="00E810AA" w:rsidRDefault="002411ED" w:rsidP="002411ED">
      <w:pPr>
        <w:pStyle w:val="ListParagraph"/>
        <w:spacing w:after="0" w:line="300" w:lineRule="atLeast"/>
        <w:ind w:left="709"/>
        <w:contextualSpacing w:val="0"/>
        <w:rPr>
          <w:rFonts w:ascii="Arial" w:hAnsi="Arial" w:cs="Arial"/>
        </w:rPr>
      </w:pPr>
    </w:p>
    <w:p w14:paraId="6A5487A2" w14:textId="301A6B9B" w:rsidR="00326632" w:rsidRDefault="00326632" w:rsidP="00A80448">
      <w:pPr>
        <w:pStyle w:val="ListParagraph"/>
        <w:numPr>
          <w:ilvl w:val="1"/>
          <w:numId w:val="43"/>
        </w:numPr>
        <w:spacing w:after="0" w:line="300" w:lineRule="atLeast"/>
        <w:ind w:left="709" w:hanging="709"/>
        <w:contextualSpacing w:val="0"/>
        <w:rPr>
          <w:rFonts w:ascii="Arial" w:hAnsi="Arial" w:cs="Arial"/>
        </w:rPr>
      </w:pPr>
      <w:r w:rsidRPr="00E810AA">
        <w:rPr>
          <w:rFonts w:ascii="Arial" w:hAnsi="Arial" w:cs="Arial"/>
        </w:rPr>
        <w:t xml:space="preserve">In recent years, there has been debate about </w:t>
      </w:r>
      <w:r w:rsidR="00F5204B">
        <w:rPr>
          <w:rFonts w:ascii="Arial" w:hAnsi="Arial" w:cs="Arial"/>
        </w:rPr>
        <w:t xml:space="preserve">the </w:t>
      </w:r>
      <w:r w:rsidRPr="00E810AA">
        <w:rPr>
          <w:rFonts w:ascii="Arial" w:hAnsi="Arial" w:cs="Arial"/>
        </w:rPr>
        <w:t>wider amenity challenges th</w:t>
      </w:r>
      <w:r w:rsidR="00F5204B">
        <w:rPr>
          <w:rFonts w:ascii="Arial" w:hAnsi="Arial" w:cs="Arial"/>
        </w:rPr>
        <w:t>at the</w:t>
      </w:r>
      <w:r w:rsidRPr="00E810AA">
        <w:rPr>
          <w:rFonts w:ascii="Arial" w:hAnsi="Arial" w:cs="Arial"/>
        </w:rPr>
        <w:t xml:space="preserve"> concentrations of HMOs are having on neighbourhoods.</w:t>
      </w:r>
      <w:r w:rsidR="00696A47">
        <w:rPr>
          <w:rFonts w:ascii="Arial" w:hAnsi="Arial" w:cs="Arial"/>
        </w:rPr>
        <w:t xml:space="preserve"> </w:t>
      </w:r>
      <w:r w:rsidRPr="00E810AA">
        <w:rPr>
          <w:rFonts w:ascii="Arial" w:hAnsi="Arial" w:cs="Arial"/>
        </w:rPr>
        <w:t xml:space="preserve"> The most commonly noted issues include the loss of other types of dwellings in the private rent</w:t>
      </w:r>
      <w:r w:rsidR="00F5204B">
        <w:rPr>
          <w:rFonts w:ascii="Arial" w:hAnsi="Arial" w:cs="Arial"/>
        </w:rPr>
        <w:t>ed</w:t>
      </w:r>
      <w:r w:rsidRPr="00E810AA">
        <w:rPr>
          <w:rFonts w:ascii="Arial" w:hAnsi="Arial" w:cs="Arial"/>
        </w:rPr>
        <w:t xml:space="preserve"> sector, family and starter housing, as owner occupiers and buy-to-let landlords compet</w:t>
      </w:r>
      <w:r w:rsidR="00F5204B">
        <w:rPr>
          <w:rFonts w:ascii="Arial" w:hAnsi="Arial" w:cs="Arial"/>
        </w:rPr>
        <w:t>e</w:t>
      </w:r>
      <w:r w:rsidRPr="00E810AA">
        <w:rPr>
          <w:rFonts w:ascii="Arial" w:hAnsi="Arial" w:cs="Arial"/>
        </w:rPr>
        <w:t xml:space="preserve"> for similar properties and </w:t>
      </w:r>
      <w:r w:rsidR="00F5204B">
        <w:rPr>
          <w:rFonts w:ascii="Arial" w:hAnsi="Arial" w:cs="Arial"/>
        </w:rPr>
        <w:t xml:space="preserve">this can </w:t>
      </w:r>
      <w:r w:rsidRPr="00E810AA">
        <w:rPr>
          <w:rFonts w:ascii="Arial" w:hAnsi="Arial" w:cs="Arial"/>
        </w:rPr>
        <w:t>have implications on families seeking accommodation in the private rent</w:t>
      </w:r>
      <w:r w:rsidR="00F5204B">
        <w:rPr>
          <w:rFonts w:ascii="Arial" w:hAnsi="Arial" w:cs="Arial"/>
        </w:rPr>
        <w:t>ed</w:t>
      </w:r>
      <w:r w:rsidRPr="00E810AA">
        <w:rPr>
          <w:rFonts w:ascii="Arial" w:hAnsi="Arial" w:cs="Arial"/>
        </w:rPr>
        <w:t xml:space="preserve"> sector.</w:t>
      </w:r>
    </w:p>
    <w:p w14:paraId="47E43F52" w14:textId="77777777" w:rsidR="002411ED" w:rsidRPr="00E810AA" w:rsidRDefault="002411ED" w:rsidP="002411ED">
      <w:pPr>
        <w:pStyle w:val="ListParagraph"/>
        <w:spacing w:after="0" w:line="300" w:lineRule="atLeast"/>
        <w:ind w:left="709"/>
        <w:contextualSpacing w:val="0"/>
        <w:rPr>
          <w:rFonts w:ascii="Arial" w:hAnsi="Arial" w:cs="Arial"/>
        </w:rPr>
      </w:pPr>
    </w:p>
    <w:p w14:paraId="1A5E1518" w14:textId="77777777" w:rsidR="00326632" w:rsidRDefault="00696A47" w:rsidP="00A80448">
      <w:pPr>
        <w:pStyle w:val="ListParagraph"/>
        <w:numPr>
          <w:ilvl w:val="1"/>
          <w:numId w:val="43"/>
        </w:numPr>
        <w:spacing w:after="0" w:line="300" w:lineRule="atLeast"/>
        <w:ind w:left="709" w:hanging="709"/>
        <w:contextualSpacing w:val="0"/>
        <w:rPr>
          <w:rFonts w:ascii="Arial" w:hAnsi="Arial" w:cs="Arial"/>
        </w:rPr>
      </w:pPr>
      <w:r>
        <w:rPr>
          <w:rFonts w:ascii="Arial" w:hAnsi="Arial" w:cs="Arial"/>
        </w:rPr>
        <w:t>Whilst HMOs can provide</w:t>
      </w:r>
      <w:r w:rsidR="00326632" w:rsidRPr="00E810AA">
        <w:rPr>
          <w:rFonts w:ascii="Arial" w:hAnsi="Arial" w:cs="Arial"/>
        </w:rPr>
        <w:t xml:space="preserve"> specialist, lo</w:t>
      </w:r>
      <w:r>
        <w:rPr>
          <w:rFonts w:ascii="Arial" w:hAnsi="Arial" w:cs="Arial"/>
        </w:rPr>
        <w:t>w cost, temporary accommodation</w:t>
      </w:r>
      <w:r w:rsidR="00326632" w:rsidRPr="00E810AA">
        <w:rPr>
          <w:rFonts w:ascii="Arial" w:hAnsi="Arial" w:cs="Arial"/>
        </w:rPr>
        <w:t xml:space="preserve"> for the most vulnerable, deprived, and socially/economically disadvantaged population, evidence suggests many of the issues apply to HMOs in general and are well-known and generally accepted nationwide. </w:t>
      </w:r>
      <w:r>
        <w:rPr>
          <w:rFonts w:ascii="Arial" w:hAnsi="Arial" w:cs="Arial"/>
        </w:rPr>
        <w:t xml:space="preserve"> </w:t>
      </w:r>
      <w:r w:rsidR="00326632" w:rsidRPr="00E810AA">
        <w:rPr>
          <w:rFonts w:ascii="Arial" w:hAnsi="Arial" w:cs="Arial"/>
        </w:rPr>
        <w:t xml:space="preserve">Concerns about the adverse amenity impact of increasing numbers of HMOs have been raised by the local residents and recorded by the Council’s Environmental Protection Team, which include: </w:t>
      </w:r>
    </w:p>
    <w:p w14:paraId="30A90FE8" w14:textId="77777777" w:rsidR="00F5204B" w:rsidRPr="00F5204B" w:rsidRDefault="00F5204B" w:rsidP="00F5204B">
      <w:pPr>
        <w:pStyle w:val="ListParagraph"/>
        <w:rPr>
          <w:rFonts w:ascii="Arial" w:hAnsi="Arial" w:cs="Arial"/>
        </w:rPr>
      </w:pPr>
    </w:p>
    <w:p w14:paraId="265BE734" w14:textId="77777777" w:rsidR="00326632" w:rsidRPr="00E810AA" w:rsidRDefault="00326632" w:rsidP="00E810AA">
      <w:pPr>
        <w:pStyle w:val="ListParagraph"/>
        <w:numPr>
          <w:ilvl w:val="0"/>
          <w:numId w:val="6"/>
        </w:numPr>
        <w:spacing w:after="0" w:line="300" w:lineRule="atLeast"/>
        <w:ind w:hanging="357"/>
        <w:rPr>
          <w:rFonts w:ascii="Arial" w:hAnsi="Arial" w:cs="Arial"/>
        </w:rPr>
      </w:pPr>
      <w:r w:rsidRPr="00E810AA">
        <w:rPr>
          <w:rFonts w:ascii="Arial" w:hAnsi="Arial" w:cs="Arial"/>
        </w:rPr>
        <w:t xml:space="preserve">Increase in population density resulting in increase in domestic refuse, litter, and fly tipping of the unwanted household items (e.g. discarded beds/mattresses, sofa and fridges); </w:t>
      </w:r>
    </w:p>
    <w:p w14:paraId="2EC1732F" w14:textId="77777777"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 xml:space="preserve">The removal of hedges, fences, gardens for driveways; </w:t>
      </w:r>
    </w:p>
    <w:p w14:paraId="4E6C9BE1" w14:textId="2A73E305"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 xml:space="preserve">The changing visual appearance of </w:t>
      </w:r>
      <w:r w:rsidR="00F5204B">
        <w:rPr>
          <w:rFonts w:ascii="Arial" w:hAnsi="Arial" w:cs="Arial"/>
        </w:rPr>
        <w:t xml:space="preserve">the </w:t>
      </w:r>
      <w:r w:rsidRPr="00E810AA">
        <w:rPr>
          <w:rFonts w:ascii="Arial" w:hAnsi="Arial" w:cs="Arial"/>
        </w:rPr>
        <w:t>street</w:t>
      </w:r>
      <w:r w:rsidR="00F5204B">
        <w:rPr>
          <w:rFonts w:ascii="Arial" w:hAnsi="Arial" w:cs="Arial"/>
        </w:rPr>
        <w:t xml:space="preserve"> scene</w:t>
      </w:r>
      <w:r w:rsidRPr="00E810AA">
        <w:rPr>
          <w:rFonts w:ascii="Arial" w:hAnsi="Arial" w:cs="Arial"/>
        </w:rPr>
        <w:t xml:space="preserve"> and residential environment in negative ways; </w:t>
      </w:r>
    </w:p>
    <w:p w14:paraId="37A4DD5B" w14:textId="77777777"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Higher levels of population transience;</w:t>
      </w:r>
    </w:p>
    <w:p w14:paraId="4ACCC500" w14:textId="77777777"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 xml:space="preserve">The proliferation of ‘to-let’ boards, unkempt gardens and yards; </w:t>
      </w:r>
    </w:p>
    <w:p w14:paraId="2CAE5BC8" w14:textId="77777777"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 xml:space="preserve">Dilapidated external residential facades, and the disrepair of housing (depending on the landlord); </w:t>
      </w:r>
    </w:p>
    <w:p w14:paraId="3803C5C6" w14:textId="77777777"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lastRenderedPageBreak/>
        <w:t xml:space="preserve">The exclusion of local families and low –income individuals and households from the local housing market; </w:t>
      </w:r>
    </w:p>
    <w:p w14:paraId="03C706AA" w14:textId="77777777"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 xml:space="preserve">The replacement /displacement of local facilities by transient populations; </w:t>
      </w:r>
    </w:p>
    <w:p w14:paraId="0557510C" w14:textId="77777777" w:rsidR="00326632" w:rsidRPr="00E810AA" w:rsidRDefault="007130AA" w:rsidP="00E810AA">
      <w:pPr>
        <w:pStyle w:val="ListParagraph"/>
        <w:numPr>
          <w:ilvl w:val="0"/>
          <w:numId w:val="5"/>
        </w:numPr>
        <w:spacing w:after="0" w:line="300" w:lineRule="atLeast"/>
        <w:ind w:hanging="357"/>
        <w:rPr>
          <w:rFonts w:ascii="Arial" w:hAnsi="Arial" w:cs="Arial"/>
        </w:rPr>
      </w:pPr>
      <w:r w:rsidRPr="00E810AA">
        <w:rPr>
          <w:rFonts w:ascii="Arial" w:hAnsi="Arial" w:cs="Arial"/>
        </w:rPr>
        <w:t>The marginalisation and</w:t>
      </w:r>
      <w:r w:rsidR="00326632" w:rsidRPr="00E810AA">
        <w:rPr>
          <w:rFonts w:ascii="Arial" w:hAnsi="Arial" w:cs="Arial"/>
        </w:rPr>
        <w:t xml:space="preserve"> polarisation of local families; </w:t>
      </w:r>
    </w:p>
    <w:p w14:paraId="01CCF010" w14:textId="77777777"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 xml:space="preserve">The gradual loss of family-oriented public and private services; </w:t>
      </w:r>
    </w:p>
    <w:p w14:paraId="2E2239DB" w14:textId="77777777"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 xml:space="preserve">The formation of new sense of place, and a different type of ambience in the neighbourhood; </w:t>
      </w:r>
    </w:p>
    <w:p w14:paraId="72124832" w14:textId="77777777"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 xml:space="preserve">Higher level of noise nuisance (e.g. parties, higher occupancy levels in HMO)  anti-social behaviour, burglary and crime; </w:t>
      </w:r>
    </w:p>
    <w:p w14:paraId="42689B81" w14:textId="77777777" w:rsidR="00326632" w:rsidRPr="00E810AA"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 xml:space="preserve">The incongruous patterns of the everyday living (e.g. timing of work, play and sleep) of established residents; </w:t>
      </w:r>
    </w:p>
    <w:p w14:paraId="422268B9" w14:textId="77777777" w:rsidR="00326632" w:rsidRDefault="00326632" w:rsidP="00E810AA">
      <w:pPr>
        <w:pStyle w:val="ListParagraph"/>
        <w:numPr>
          <w:ilvl w:val="0"/>
          <w:numId w:val="5"/>
        </w:numPr>
        <w:spacing w:after="0" w:line="300" w:lineRule="atLeast"/>
        <w:ind w:hanging="357"/>
        <w:rPr>
          <w:rFonts w:ascii="Arial" w:hAnsi="Arial" w:cs="Arial"/>
        </w:rPr>
      </w:pPr>
      <w:r w:rsidRPr="00E810AA">
        <w:rPr>
          <w:rFonts w:ascii="Arial" w:hAnsi="Arial" w:cs="Arial"/>
        </w:rPr>
        <w:t>Increased car parking and congestion</w:t>
      </w:r>
    </w:p>
    <w:p w14:paraId="337DB8EC" w14:textId="77777777" w:rsidR="00F5204B" w:rsidRPr="00E810AA" w:rsidRDefault="00F5204B" w:rsidP="00F5204B">
      <w:pPr>
        <w:pStyle w:val="ListParagraph"/>
        <w:spacing w:after="0" w:line="300" w:lineRule="atLeast"/>
        <w:ind w:left="1429"/>
        <w:rPr>
          <w:rFonts w:ascii="Arial" w:hAnsi="Arial" w:cs="Arial"/>
        </w:rPr>
      </w:pPr>
    </w:p>
    <w:p w14:paraId="3D185846" w14:textId="724AE736" w:rsidR="00326632" w:rsidRDefault="00326632" w:rsidP="00A80448">
      <w:pPr>
        <w:pStyle w:val="ListParagraph"/>
        <w:numPr>
          <w:ilvl w:val="1"/>
          <w:numId w:val="43"/>
        </w:numPr>
        <w:spacing w:after="0" w:line="300" w:lineRule="atLeast"/>
        <w:ind w:left="709" w:hanging="709"/>
        <w:rPr>
          <w:rFonts w:ascii="Arial" w:hAnsi="Arial" w:cs="Arial"/>
        </w:rPr>
      </w:pPr>
      <w:r w:rsidRPr="00E810AA">
        <w:rPr>
          <w:rFonts w:ascii="Arial" w:hAnsi="Arial" w:cs="Arial"/>
        </w:rPr>
        <w:t xml:space="preserve">Local amenity and the well-being of an area are very wide terms and can have specific meanings in policy interpretation depending on the matters being considered, for example </w:t>
      </w:r>
      <w:r w:rsidR="00A262EC">
        <w:rPr>
          <w:rFonts w:ascii="Arial" w:hAnsi="Arial" w:cs="Arial"/>
        </w:rPr>
        <w:t>‘</w:t>
      </w:r>
      <w:r w:rsidRPr="00E810AA">
        <w:rPr>
          <w:rFonts w:ascii="Arial" w:hAnsi="Arial" w:cs="Arial"/>
        </w:rPr>
        <w:t>visual amenity</w:t>
      </w:r>
      <w:r w:rsidR="00A262EC">
        <w:rPr>
          <w:rFonts w:ascii="Arial" w:hAnsi="Arial" w:cs="Arial"/>
        </w:rPr>
        <w:t>’</w:t>
      </w:r>
      <w:r w:rsidRPr="00E810AA">
        <w:rPr>
          <w:rFonts w:ascii="Arial" w:hAnsi="Arial" w:cs="Arial"/>
        </w:rPr>
        <w:t xml:space="preserve"> or </w:t>
      </w:r>
      <w:r w:rsidR="00A262EC">
        <w:rPr>
          <w:rFonts w:ascii="Arial" w:hAnsi="Arial" w:cs="Arial"/>
        </w:rPr>
        <w:t>‘</w:t>
      </w:r>
      <w:r w:rsidRPr="00E810AA">
        <w:rPr>
          <w:rFonts w:ascii="Arial" w:hAnsi="Arial" w:cs="Arial"/>
        </w:rPr>
        <w:t>residential amenity</w:t>
      </w:r>
      <w:r w:rsidR="00A262EC">
        <w:rPr>
          <w:rFonts w:ascii="Arial" w:hAnsi="Arial" w:cs="Arial"/>
        </w:rPr>
        <w:t>’</w:t>
      </w:r>
      <w:r w:rsidRPr="00E810AA">
        <w:rPr>
          <w:rFonts w:ascii="Arial" w:hAnsi="Arial" w:cs="Arial"/>
        </w:rPr>
        <w:t>. Amenity generally can be defined as</w:t>
      </w:r>
      <w:r w:rsidR="00A262EC">
        <w:rPr>
          <w:rFonts w:ascii="Arial" w:hAnsi="Arial" w:cs="Arial"/>
        </w:rPr>
        <w:t xml:space="preserve"> a</w:t>
      </w:r>
      <w:r w:rsidRPr="00E810AA">
        <w:rPr>
          <w:rFonts w:ascii="Arial" w:hAnsi="Arial" w:cs="Arial"/>
        </w:rPr>
        <w:t xml:space="preserve"> ‘positive element or elements that contribute to the overall character of enjoyment of an area’. </w:t>
      </w:r>
      <w:r w:rsidR="00696A47">
        <w:rPr>
          <w:rFonts w:ascii="Arial" w:hAnsi="Arial" w:cs="Arial"/>
        </w:rPr>
        <w:t xml:space="preserve"> </w:t>
      </w:r>
      <w:r w:rsidRPr="00E810AA">
        <w:rPr>
          <w:rFonts w:ascii="Arial" w:hAnsi="Arial" w:cs="Arial"/>
        </w:rPr>
        <w:t>Whilst an individual HMO can have some adverse impact on the amenity of its occupiers and the immediate neighbours, the concentration of HMOs within areas or clustering of HMOs have evidentially result</w:t>
      </w:r>
      <w:r w:rsidR="00A262EC">
        <w:rPr>
          <w:rFonts w:ascii="Arial" w:hAnsi="Arial" w:cs="Arial"/>
        </w:rPr>
        <w:t>ed</w:t>
      </w:r>
      <w:r w:rsidRPr="00E810AA">
        <w:rPr>
          <w:rFonts w:ascii="Arial" w:hAnsi="Arial" w:cs="Arial"/>
        </w:rPr>
        <w:t xml:space="preserve"> in notable adverse impact on the local amenity or the well-being of an area. </w:t>
      </w:r>
    </w:p>
    <w:p w14:paraId="69FF51D0" w14:textId="77777777" w:rsidR="002411ED" w:rsidRDefault="002411ED" w:rsidP="002411ED">
      <w:pPr>
        <w:spacing w:after="0" w:line="300" w:lineRule="atLeast"/>
        <w:rPr>
          <w:rFonts w:ascii="Arial" w:hAnsi="Arial" w:cs="Arial"/>
        </w:rPr>
      </w:pPr>
    </w:p>
    <w:p w14:paraId="02F29758" w14:textId="77777777" w:rsidR="00696A47" w:rsidRPr="00BA2ACA" w:rsidRDefault="00BA2ACA" w:rsidP="00BA2ACA">
      <w:pPr>
        <w:spacing w:after="0" w:line="300" w:lineRule="atLeast"/>
        <w:ind w:left="709"/>
        <w:rPr>
          <w:rFonts w:ascii="Arial" w:hAnsi="Arial" w:cs="Arial"/>
          <w:b/>
        </w:rPr>
      </w:pPr>
      <w:r w:rsidRPr="00BA2ACA">
        <w:rPr>
          <w:rFonts w:ascii="Arial" w:hAnsi="Arial" w:cs="Arial"/>
          <w:b/>
        </w:rPr>
        <w:t xml:space="preserve">Conclusion </w:t>
      </w:r>
    </w:p>
    <w:p w14:paraId="2FA4CB55" w14:textId="77777777" w:rsidR="00BA2ACA" w:rsidRDefault="00BA2ACA" w:rsidP="00BA2ACA">
      <w:pPr>
        <w:spacing w:after="0" w:line="300" w:lineRule="atLeast"/>
        <w:rPr>
          <w:rFonts w:ascii="Arial" w:hAnsi="Arial" w:cs="Arial"/>
        </w:rPr>
      </w:pPr>
      <w:r>
        <w:rPr>
          <w:rFonts w:ascii="Arial" w:hAnsi="Arial" w:cs="Arial"/>
        </w:rPr>
        <w:tab/>
      </w:r>
    </w:p>
    <w:p w14:paraId="601956D8" w14:textId="44510B59" w:rsidR="00B44087" w:rsidRPr="00B44087" w:rsidRDefault="00B44087" w:rsidP="00A80448">
      <w:pPr>
        <w:numPr>
          <w:ilvl w:val="1"/>
          <w:numId w:val="43"/>
        </w:numPr>
        <w:spacing w:after="0" w:line="300" w:lineRule="atLeast"/>
        <w:ind w:left="709" w:hanging="709"/>
        <w:rPr>
          <w:rFonts w:ascii="Arial" w:hAnsi="Arial" w:cs="Arial"/>
        </w:rPr>
      </w:pPr>
      <w:r w:rsidRPr="00B44087">
        <w:rPr>
          <w:rFonts w:ascii="Arial" w:hAnsi="Arial" w:cs="Arial"/>
        </w:rPr>
        <w:t>In summary, evidence presented in this section of the report ha</w:t>
      </w:r>
      <w:r w:rsidR="003416A6">
        <w:rPr>
          <w:rFonts w:ascii="Arial" w:hAnsi="Arial" w:cs="Arial"/>
        </w:rPr>
        <w:t>s</w:t>
      </w:r>
      <w:r w:rsidRPr="00B44087">
        <w:rPr>
          <w:rFonts w:ascii="Arial" w:hAnsi="Arial" w:cs="Arial"/>
        </w:rPr>
        <w:t xml:space="preserve"> indicated that Hyndburn</w:t>
      </w:r>
      <w:r w:rsidR="00A262EC">
        <w:rPr>
          <w:rFonts w:ascii="Arial" w:hAnsi="Arial" w:cs="Arial"/>
        </w:rPr>
        <w:t xml:space="preserve"> </w:t>
      </w:r>
      <w:r w:rsidRPr="00B44087">
        <w:rPr>
          <w:rFonts w:ascii="Arial" w:hAnsi="Arial" w:cs="Arial"/>
        </w:rPr>
        <w:t>tend</w:t>
      </w:r>
      <w:r w:rsidR="00A262EC">
        <w:rPr>
          <w:rFonts w:ascii="Arial" w:hAnsi="Arial" w:cs="Arial"/>
        </w:rPr>
        <w:t>s</w:t>
      </w:r>
      <w:r w:rsidRPr="00B44087">
        <w:rPr>
          <w:rFonts w:ascii="Arial" w:hAnsi="Arial" w:cs="Arial"/>
        </w:rPr>
        <w:t xml:space="preserve"> to attract private landlords </w:t>
      </w:r>
      <w:r w:rsidR="00F5204B">
        <w:rPr>
          <w:rFonts w:ascii="Arial" w:hAnsi="Arial" w:cs="Arial"/>
        </w:rPr>
        <w:t xml:space="preserve">wishing to </w:t>
      </w:r>
      <w:r w:rsidRPr="00B44087">
        <w:rPr>
          <w:rFonts w:ascii="Arial" w:hAnsi="Arial" w:cs="Arial"/>
        </w:rPr>
        <w:t xml:space="preserve">acquire residential properties to convert them into small HMOs under the </w:t>
      </w:r>
      <w:r w:rsidR="003416A6">
        <w:rPr>
          <w:rFonts w:ascii="Arial" w:hAnsi="Arial" w:cs="Arial"/>
        </w:rPr>
        <w:t xml:space="preserve">planning </w:t>
      </w:r>
      <w:r w:rsidRPr="00B44087">
        <w:rPr>
          <w:rFonts w:ascii="Arial" w:hAnsi="Arial" w:cs="Arial"/>
        </w:rPr>
        <w:t xml:space="preserve">permitted development rights. </w:t>
      </w:r>
      <w:r w:rsidR="00F5204B">
        <w:rPr>
          <w:rFonts w:ascii="Arial" w:hAnsi="Arial" w:cs="Arial"/>
        </w:rPr>
        <w:t xml:space="preserve">This </w:t>
      </w:r>
      <w:r w:rsidR="000E1193">
        <w:rPr>
          <w:rFonts w:ascii="Arial" w:hAnsi="Arial" w:cs="Arial"/>
        </w:rPr>
        <w:t xml:space="preserve">could be </w:t>
      </w:r>
      <w:r w:rsidR="00F5204B">
        <w:rPr>
          <w:rFonts w:ascii="Arial" w:hAnsi="Arial" w:cs="Arial"/>
        </w:rPr>
        <w:t xml:space="preserve">because this type of property quickly allows for a high yield return. </w:t>
      </w:r>
      <w:r w:rsidRPr="00B44087">
        <w:rPr>
          <w:rFonts w:ascii="Arial" w:hAnsi="Arial" w:cs="Arial"/>
        </w:rPr>
        <w:t>Further, it is also noted that the increased number of HMOs, particularly clusters of small HMOs</w:t>
      </w:r>
      <w:r w:rsidR="00A262EC">
        <w:rPr>
          <w:rFonts w:ascii="Arial" w:hAnsi="Arial" w:cs="Arial"/>
        </w:rPr>
        <w:t>,</w:t>
      </w:r>
      <w:r w:rsidRPr="00B44087">
        <w:rPr>
          <w:rFonts w:ascii="Arial" w:hAnsi="Arial" w:cs="Arial"/>
        </w:rPr>
        <w:t xml:space="preserve"> </w:t>
      </w:r>
      <w:r w:rsidR="003416A6">
        <w:rPr>
          <w:rFonts w:ascii="Arial" w:hAnsi="Arial" w:cs="Arial"/>
        </w:rPr>
        <w:t>can</w:t>
      </w:r>
      <w:r w:rsidRPr="00B44087">
        <w:rPr>
          <w:rFonts w:ascii="Arial" w:hAnsi="Arial" w:cs="Arial"/>
        </w:rPr>
        <w:t xml:space="preserve"> </w:t>
      </w:r>
      <w:r w:rsidR="003416A6" w:rsidRPr="00B44087">
        <w:rPr>
          <w:rFonts w:ascii="Arial" w:hAnsi="Arial" w:cs="Arial"/>
        </w:rPr>
        <w:t>intensif</w:t>
      </w:r>
      <w:r w:rsidR="003416A6">
        <w:rPr>
          <w:rFonts w:ascii="Arial" w:hAnsi="Arial" w:cs="Arial"/>
        </w:rPr>
        <w:t xml:space="preserve">y </w:t>
      </w:r>
      <w:r w:rsidR="003416A6" w:rsidRPr="00B44087">
        <w:rPr>
          <w:rFonts w:ascii="Arial" w:hAnsi="Arial" w:cs="Arial"/>
        </w:rPr>
        <w:t>social</w:t>
      </w:r>
      <w:r w:rsidRPr="00B44087">
        <w:rPr>
          <w:rFonts w:ascii="Arial" w:hAnsi="Arial" w:cs="Arial"/>
        </w:rPr>
        <w:t xml:space="preserve">/economics issues such as increased </w:t>
      </w:r>
      <w:r w:rsidR="005A6815" w:rsidRPr="00B44087">
        <w:rPr>
          <w:rFonts w:ascii="Arial" w:hAnsi="Arial" w:cs="Arial"/>
        </w:rPr>
        <w:t>leve</w:t>
      </w:r>
      <w:r w:rsidR="005A6815">
        <w:rPr>
          <w:rFonts w:ascii="Arial" w:hAnsi="Arial" w:cs="Arial"/>
        </w:rPr>
        <w:t>l</w:t>
      </w:r>
      <w:r w:rsidR="005A6815" w:rsidRPr="00B44087">
        <w:rPr>
          <w:rFonts w:ascii="Arial" w:hAnsi="Arial" w:cs="Arial"/>
        </w:rPr>
        <w:t>s</w:t>
      </w:r>
      <w:r w:rsidRPr="00B44087">
        <w:rPr>
          <w:rFonts w:ascii="Arial" w:hAnsi="Arial" w:cs="Arial"/>
        </w:rPr>
        <w:t xml:space="preserve"> of multiple deprivation, high</w:t>
      </w:r>
      <w:r w:rsidR="00F5204B">
        <w:rPr>
          <w:rFonts w:ascii="Arial" w:hAnsi="Arial" w:cs="Arial"/>
        </w:rPr>
        <w:t>er</w:t>
      </w:r>
      <w:r w:rsidRPr="00B44087">
        <w:rPr>
          <w:rFonts w:ascii="Arial" w:hAnsi="Arial" w:cs="Arial"/>
        </w:rPr>
        <w:t xml:space="preserve"> crime</w:t>
      </w:r>
      <w:r w:rsidR="00F5204B">
        <w:rPr>
          <w:rFonts w:ascii="Arial" w:hAnsi="Arial" w:cs="Arial"/>
        </w:rPr>
        <w:t xml:space="preserve"> rates</w:t>
      </w:r>
      <w:r w:rsidRPr="00B44087">
        <w:rPr>
          <w:rFonts w:ascii="Arial" w:hAnsi="Arial" w:cs="Arial"/>
        </w:rPr>
        <w:t xml:space="preserve">, housing disrepair and </w:t>
      </w:r>
      <w:r w:rsidR="005A6815" w:rsidRPr="00B44087">
        <w:rPr>
          <w:rFonts w:ascii="Arial" w:hAnsi="Arial" w:cs="Arial"/>
        </w:rPr>
        <w:t>poor-quality</w:t>
      </w:r>
      <w:r w:rsidRPr="00B44087">
        <w:rPr>
          <w:rFonts w:ascii="Arial" w:hAnsi="Arial" w:cs="Arial"/>
        </w:rPr>
        <w:t xml:space="preserve"> accommodation, which lead to </w:t>
      </w:r>
      <w:r w:rsidR="00A262EC">
        <w:rPr>
          <w:rFonts w:ascii="Arial" w:hAnsi="Arial" w:cs="Arial"/>
        </w:rPr>
        <w:t xml:space="preserve">a </w:t>
      </w:r>
      <w:r w:rsidRPr="00B44087">
        <w:rPr>
          <w:rFonts w:ascii="Arial" w:hAnsi="Arial" w:cs="Arial"/>
        </w:rPr>
        <w:t>further reduction in housing demands and property prices.</w:t>
      </w:r>
      <w:r w:rsidR="003416A6">
        <w:rPr>
          <w:rFonts w:ascii="Arial" w:hAnsi="Arial" w:cs="Arial"/>
        </w:rPr>
        <w:t xml:space="preserve"> </w:t>
      </w:r>
    </w:p>
    <w:p w14:paraId="47257A94" w14:textId="77777777" w:rsidR="00BC4F80" w:rsidRPr="00B44087" w:rsidRDefault="00BC4F80" w:rsidP="00B44087">
      <w:pPr>
        <w:spacing w:after="0" w:line="300" w:lineRule="atLeast"/>
        <w:rPr>
          <w:rFonts w:ascii="Arial" w:hAnsi="Arial" w:cs="Arial"/>
        </w:rPr>
      </w:pPr>
    </w:p>
    <w:p w14:paraId="03DC5F01" w14:textId="07A03343" w:rsidR="00BA2ACA" w:rsidRPr="00A262EC" w:rsidRDefault="00A262EC" w:rsidP="00A80448">
      <w:pPr>
        <w:numPr>
          <w:ilvl w:val="1"/>
          <w:numId w:val="43"/>
        </w:numPr>
        <w:spacing w:after="0" w:line="300" w:lineRule="atLeast"/>
        <w:ind w:left="709" w:hanging="709"/>
        <w:rPr>
          <w:rFonts w:ascii="Arial" w:hAnsi="Arial" w:cs="Arial"/>
          <w:b/>
          <w:bCs/>
        </w:rPr>
      </w:pPr>
      <w:r w:rsidRPr="00A262EC">
        <w:rPr>
          <w:rFonts w:ascii="Arial" w:hAnsi="Arial" w:cs="Arial"/>
          <w:b/>
          <w:bCs/>
        </w:rPr>
        <w:t>In light of the above evidence, it is considered that the introduction of a further Article 4 Direction in areas not currently covered by the Article 4 Direction approved by the Council on 4 December 2024, removing permitted development rights for changes of use to small HMOs, is justified.</w:t>
      </w:r>
    </w:p>
    <w:p w14:paraId="383557AB" w14:textId="77777777" w:rsidR="002411ED" w:rsidRPr="002411ED" w:rsidRDefault="002411ED" w:rsidP="002411ED">
      <w:pPr>
        <w:spacing w:after="0" w:line="300" w:lineRule="atLeast"/>
        <w:rPr>
          <w:rFonts w:ascii="Arial" w:hAnsi="Arial" w:cs="Arial"/>
        </w:rPr>
      </w:pPr>
    </w:p>
    <w:p w14:paraId="71711EB3" w14:textId="77777777" w:rsidR="00D74B46" w:rsidRPr="00E810AA" w:rsidRDefault="008E0EAC" w:rsidP="00E810AA">
      <w:pPr>
        <w:spacing w:after="0" w:line="300" w:lineRule="atLeast"/>
        <w:rPr>
          <w:rFonts w:ascii="Arial" w:hAnsi="Arial" w:cs="Arial"/>
        </w:rPr>
      </w:pPr>
      <w:r w:rsidRPr="00E810AA">
        <w:rPr>
          <w:rFonts w:ascii="Arial" w:hAnsi="Arial" w:cs="Arial"/>
        </w:rPr>
        <w:br w:type="page"/>
      </w:r>
    </w:p>
    <w:p w14:paraId="1BB3A23B" w14:textId="54EE49CF" w:rsidR="00D74B46" w:rsidRPr="00696A47" w:rsidRDefault="00841801" w:rsidP="00841801">
      <w:pPr>
        <w:pStyle w:val="Heading1"/>
        <w:spacing w:before="0" w:line="300" w:lineRule="atLeast"/>
        <w:rPr>
          <w:rFonts w:ascii="Arial" w:hAnsi="Arial" w:cs="Arial"/>
          <w:b/>
          <w:sz w:val="24"/>
          <w:szCs w:val="24"/>
        </w:rPr>
      </w:pPr>
      <w:bookmarkStart w:id="6" w:name="_Toc223633622"/>
      <w:r>
        <w:rPr>
          <w:rFonts w:ascii="Arial" w:hAnsi="Arial" w:cs="Arial"/>
          <w:b/>
          <w:sz w:val="24"/>
          <w:szCs w:val="24"/>
        </w:rPr>
        <w:lastRenderedPageBreak/>
        <w:t>7.</w:t>
      </w:r>
      <w:r>
        <w:rPr>
          <w:rFonts w:ascii="Arial" w:hAnsi="Arial" w:cs="Arial"/>
          <w:b/>
          <w:sz w:val="24"/>
          <w:szCs w:val="24"/>
        </w:rPr>
        <w:tab/>
      </w:r>
      <w:r w:rsidR="00D74B46" w:rsidRPr="00696A47">
        <w:rPr>
          <w:rFonts w:ascii="Arial" w:hAnsi="Arial" w:cs="Arial"/>
          <w:b/>
          <w:sz w:val="24"/>
          <w:szCs w:val="24"/>
        </w:rPr>
        <w:t>Appropriate Area for the Article 4 Direction</w:t>
      </w:r>
      <w:bookmarkEnd w:id="6"/>
      <w:r w:rsidR="00D74B46" w:rsidRPr="00696A47">
        <w:rPr>
          <w:rFonts w:ascii="Arial" w:hAnsi="Arial" w:cs="Arial"/>
          <w:b/>
          <w:sz w:val="24"/>
          <w:szCs w:val="24"/>
        </w:rPr>
        <w:t xml:space="preserve"> </w:t>
      </w:r>
    </w:p>
    <w:p w14:paraId="556365CF" w14:textId="77777777" w:rsidR="00D74B46" w:rsidRPr="00E810AA" w:rsidRDefault="00D74B46" w:rsidP="00E810AA">
      <w:pPr>
        <w:pStyle w:val="ListParagraph"/>
        <w:spacing w:after="0" w:line="300" w:lineRule="atLeast"/>
        <w:rPr>
          <w:rFonts w:ascii="Arial" w:hAnsi="Arial" w:cs="Arial"/>
        </w:rPr>
      </w:pPr>
    </w:p>
    <w:p w14:paraId="295AF18F" w14:textId="1BC4EBF3" w:rsidR="0007474B" w:rsidRDefault="00B77FC5" w:rsidP="001E1B7F">
      <w:pPr>
        <w:pStyle w:val="ListParagraph"/>
        <w:numPr>
          <w:ilvl w:val="1"/>
          <w:numId w:val="41"/>
        </w:numPr>
        <w:spacing w:after="0" w:line="300" w:lineRule="atLeast"/>
        <w:ind w:left="720" w:hanging="719"/>
        <w:rPr>
          <w:rFonts w:ascii="Arial" w:hAnsi="Arial" w:cs="Arial"/>
        </w:rPr>
      </w:pPr>
      <w:r>
        <w:rPr>
          <w:rFonts w:ascii="Arial" w:hAnsi="Arial" w:cs="Arial"/>
        </w:rPr>
        <w:t>National P</w:t>
      </w:r>
      <w:r w:rsidR="00D74B46" w:rsidRPr="00E810AA">
        <w:rPr>
          <w:rFonts w:ascii="Arial" w:hAnsi="Arial" w:cs="Arial"/>
        </w:rPr>
        <w:t xml:space="preserve">lanning Practice Guidance requires there to be a ‘particularly strong’ justification if a Direction is to relate to a wide area (for example covering the entire area of a local planning authority). </w:t>
      </w:r>
      <w:r w:rsidR="0084096A">
        <w:rPr>
          <w:rFonts w:ascii="Arial" w:hAnsi="Arial" w:cs="Arial"/>
        </w:rPr>
        <w:t>However, i</w:t>
      </w:r>
      <w:r w:rsidR="00A02767" w:rsidRPr="00E810AA">
        <w:rPr>
          <w:rFonts w:ascii="Arial" w:hAnsi="Arial" w:cs="Arial"/>
        </w:rPr>
        <w:t xml:space="preserve">t is envisaged that applying an area based Article 4 Direction to manage and direct future HMO development could result in the overspill of the new HMOs to the areas not covered by </w:t>
      </w:r>
      <w:r w:rsidR="0084096A">
        <w:rPr>
          <w:rFonts w:ascii="Arial" w:hAnsi="Arial" w:cs="Arial"/>
        </w:rPr>
        <w:t>an</w:t>
      </w:r>
      <w:r w:rsidR="00A02767" w:rsidRPr="00E810AA">
        <w:rPr>
          <w:rFonts w:ascii="Arial" w:hAnsi="Arial" w:cs="Arial"/>
        </w:rPr>
        <w:t xml:space="preserve"> Article 4 Direction.  Evidence presented by the neighbouring authority Blackburn with Darwen demonstrate that </w:t>
      </w:r>
      <w:r w:rsidR="00A02767" w:rsidRPr="00B77FC5">
        <w:rPr>
          <w:rFonts w:ascii="Arial" w:hAnsi="Arial" w:cs="Arial"/>
          <w:i/>
        </w:rPr>
        <w:t>‘HMO numbers have grown considerably and been dispersed beyond those areas covered by the original Article 4 Direction</w:t>
      </w:r>
      <w:r w:rsidR="00A02767" w:rsidRPr="00E810AA">
        <w:rPr>
          <w:rFonts w:ascii="Arial" w:hAnsi="Arial" w:cs="Arial"/>
        </w:rPr>
        <w:t xml:space="preserve">.’  </w:t>
      </w:r>
    </w:p>
    <w:p w14:paraId="5684650C" w14:textId="77777777" w:rsidR="0007474B" w:rsidRDefault="0007474B" w:rsidP="0007474B">
      <w:pPr>
        <w:spacing w:after="0" w:line="300" w:lineRule="atLeast"/>
        <w:ind w:left="1"/>
        <w:rPr>
          <w:rFonts w:ascii="Arial" w:hAnsi="Arial" w:cs="Arial"/>
        </w:rPr>
      </w:pPr>
    </w:p>
    <w:p w14:paraId="6EADA1C4" w14:textId="382114E3" w:rsidR="0007474B" w:rsidRDefault="007A2C41" w:rsidP="001E1B7F">
      <w:pPr>
        <w:pStyle w:val="ListParagraph"/>
        <w:numPr>
          <w:ilvl w:val="1"/>
          <w:numId w:val="41"/>
        </w:numPr>
        <w:spacing w:after="0" w:line="300" w:lineRule="atLeast"/>
        <w:ind w:left="709" w:hanging="709"/>
        <w:rPr>
          <w:rFonts w:ascii="Arial" w:hAnsi="Arial" w:cs="Arial"/>
        </w:rPr>
      </w:pPr>
      <w:r w:rsidRPr="0007474B">
        <w:rPr>
          <w:rFonts w:ascii="Arial" w:hAnsi="Arial" w:cs="Arial"/>
        </w:rPr>
        <w:t xml:space="preserve">Given the evidence presented in this paper it is thought that </w:t>
      </w:r>
      <w:r w:rsidR="003416A6" w:rsidRPr="0007474B">
        <w:rPr>
          <w:rFonts w:ascii="Arial" w:hAnsi="Arial" w:cs="Arial"/>
        </w:rPr>
        <w:t xml:space="preserve">an additional </w:t>
      </w:r>
      <w:r w:rsidRPr="0007474B">
        <w:rPr>
          <w:rFonts w:ascii="Arial" w:hAnsi="Arial" w:cs="Arial"/>
        </w:rPr>
        <w:t xml:space="preserve">Article 4 </w:t>
      </w:r>
      <w:r w:rsidR="003416A6" w:rsidRPr="0007474B">
        <w:rPr>
          <w:rFonts w:ascii="Arial" w:hAnsi="Arial" w:cs="Arial"/>
        </w:rPr>
        <w:t xml:space="preserve">Direction covering </w:t>
      </w:r>
      <w:r w:rsidR="000E1193">
        <w:rPr>
          <w:rFonts w:ascii="Arial" w:hAnsi="Arial" w:cs="Arial"/>
        </w:rPr>
        <w:t xml:space="preserve">the </w:t>
      </w:r>
      <w:r w:rsidR="0007474B" w:rsidRPr="0007474B">
        <w:rPr>
          <w:rFonts w:ascii="Arial" w:hAnsi="Arial" w:cs="Arial"/>
        </w:rPr>
        <w:t xml:space="preserve">7 </w:t>
      </w:r>
      <w:r w:rsidR="003416A6" w:rsidRPr="0007474B">
        <w:rPr>
          <w:rFonts w:ascii="Arial" w:hAnsi="Arial" w:cs="Arial"/>
        </w:rPr>
        <w:t xml:space="preserve">remaining Wards within the Borough </w:t>
      </w:r>
      <w:r w:rsidRPr="0007474B">
        <w:rPr>
          <w:rFonts w:ascii="Arial" w:hAnsi="Arial" w:cs="Arial"/>
        </w:rPr>
        <w:t>would be appropriate</w:t>
      </w:r>
      <w:r w:rsidR="00B77FC5" w:rsidRPr="0007474B">
        <w:rPr>
          <w:rFonts w:ascii="Arial" w:hAnsi="Arial" w:cs="Arial"/>
        </w:rPr>
        <w:t xml:space="preserve">.  </w:t>
      </w:r>
      <w:r w:rsidR="0007474B" w:rsidRPr="0007474B">
        <w:rPr>
          <w:rFonts w:ascii="Arial" w:hAnsi="Arial" w:cs="Arial"/>
        </w:rPr>
        <w:t xml:space="preserve">  </w:t>
      </w:r>
      <w:r w:rsidR="008D5881" w:rsidRPr="0007474B">
        <w:rPr>
          <w:rFonts w:ascii="Arial" w:hAnsi="Arial" w:cs="Arial"/>
        </w:rPr>
        <w:t xml:space="preserve"> </w:t>
      </w:r>
    </w:p>
    <w:p w14:paraId="1623C64E" w14:textId="77777777" w:rsidR="0007474B" w:rsidRPr="0007474B" w:rsidRDefault="0007474B" w:rsidP="0007474B">
      <w:pPr>
        <w:pStyle w:val="ListParagraph"/>
        <w:rPr>
          <w:rFonts w:ascii="Arial" w:hAnsi="Arial" w:cs="Arial"/>
        </w:rPr>
      </w:pPr>
    </w:p>
    <w:p w14:paraId="61458EC3" w14:textId="2B2CBF24" w:rsidR="00D74B46" w:rsidRPr="0007474B" w:rsidRDefault="003416A6" w:rsidP="001E1B7F">
      <w:pPr>
        <w:pStyle w:val="ListParagraph"/>
        <w:numPr>
          <w:ilvl w:val="1"/>
          <w:numId w:val="41"/>
        </w:numPr>
        <w:spacing w:after="0" w:line="300" w:lineRule="atLeast"/>
        <w:ind w:left="709" w:hanging="709"/>
        <w:rPr>
          <w:rFonts w:ascii="Arial" w:hAnsi="Arial" w:cs="Arial"/>
        </w:rPr>
      </w:pPr>
      <w:r w:rsidRPr="0007474B">
        <w:rPr>
          <w:rFonts w:ascii="Arial" w:hAnsi="Arial" w:cs="Arial"/>
        </w:rPr>
        <w:t>The Article 4 Direction would therefore cover the following Wards.</w:t>
      </w:r>
    </w:p>
    <w:p w14:paraId="35FD0D38" w14:textId="77777777" w:rsidR="003416A6" w:rsidRDefault="003416A6" w:rsidP="003416A6">
      <w:pPr>
        <w:pStyle w:val="ListParagraph"/>
        <w:spacing w:after="0" w:line="300" w:lineRule="atLeast"/>
        <w:rPr>
          <w:rFonts w:ascii="Arial" w:hAnsi="Arial" w:cs="Arial"/>
        </w:rPr>
      </w:pPr>
    </w:p>
    <w:p w14:paraId="7FEEE9C6" w14:textId="413CE983" w:rsidR="003416A6" w:rsidRDefault="003416A6" w:rsidP="003416A6">
      <w:pPr>
        <w:pStyle w:val="ListParagraph"/>
        <w:numPr>
          <w:ilvl w:val="0"/>
          <w:numId w:val="39"/>
        </w:numPr>
        <w:spacing w:after="0" w:line="300" w:lineRule="atLeast"/>
        <w:rPr>
          <w:rFonts w:ascii="Arial" w:hAnsi="Arial" w:cs="Arial"/>
        </w:rPr>
      </w:pPr>
      <w:r>
        <w:rPr>
          <w:rFonts w:ascii="Arial" w:hAnsi="Arial" w:cs="Arial"/>
        </w:rPr>
        <w:t>Altham</w:t>
      </w:r>
    </w:p>
    <w:p w14:paraId="7C9B8A3A" w14:textId="01AA859B" w:rsidR="003416A6" w:rsidRDefault="003416A6" w:rsidP="003416A6">
      <w:pPr>
        <w:pStyle w:val="ListParagraph"/>
        <w:numPr>
          <w:ilvl w:val="0"/>
          <w:numId w:val="39"/>
        </w:numPr>
        <w:spacing w:after="0" w:line="300" w:lineRule="atLeast"/>
        <w:rPr>
          <w:rFonts w:ascii="Arial" w:hAnsi="Arial" w:cs="Arial"/>
        </w:rPr>
      </w:pPr>
      <w:proofErr w:type="spellStart"/>
      <w:r>
        <w:rPr>
          <w:rFonts w:ascii="Arial" w:hAnsi="Arial" w:cs="Arial"/>
        </w:rPr>
        <w:t>Baxenden</w:t>
      </w:r>
      <w:proofErr w:type="spellEnd"/>
    </w:p>
    <w:p w14:paraId="53043366" w14:textId="101AF6D7" w:rsidR="003416A6" w:rsidRDefault="003416A6" w:rsidP="003416A6">
      <w:pPr>
        <w:pStyle w:val="ListParagraph"/>
        <w:numPr>
          <w:ilvl w:val="0"/>
          <w:numId w:val="39"/>
        </w:numPr>
        <w:spacing w:after="0" w:line="300" w:lineRule="atLeast"/>
        <w:rPr>
          <w:rFonts w:ascii="Arial" w:hAnsi="Arial" w:cs="Arial"/>
        </w:rPr>
      </w:pPr>
      <w:r>
        <w:rPr>
          <w:rFonts w:ascii="Arial" w:hAnsi="Arial" w:cs="Arial"/>
        </w:rPr>
        <w:t>Huncoat</w:t>
      </w:r>
    </w:p>
    <w:p w14:paraId="3BC68ECF" w14:textId="570428AE" w:rsidR="003416A6" w:rsidRDefault="003416A6" w:rsidP="003416A6">
      <w:pPr>
        <w:pStyle w:val="ListParagraph"/>
        <w:numPr>
          <w:ilvl w:val="0"/>
          <w:numId w:val="39"/>
        </w:numPr>
        <w:spacing w:after="0" w:line="300" w:lineRule="atLeast"/>
        <w:rPr>
          <w:rFonts w:ascii="Arial" w:hAnsi="Arial" w:cs="Arial"/>
        </w:rPr>
      </w:pPr>
      <w:r>
        <w:rPr>
          <w:rFonts w:ascii="Arial" w:hAnsi="Arial" w:cs="Arial"/>
        </w:rPr>
        <w:t>Immanuel</w:t>
      </w:r>
    </w:p>
    <w:p w14:paraId="764AB2F7" w14:textId="493957A1" w:rsidR="003416A6" w:rsidRDefault="003416A6" w:rsidP="003416A6">
      <w:pPr>
        <w:pStyle w:val="ListParagraph"/>
        <w:numPr>
          <w:ilvl w:val="0"/>
          <w:numId w:val="39"/>
        </w:numPr>
        <w:spacing w:after="0" w:line="300" w:lineRule="atLeast"/>
        <w:rPr>
          <w:rFonts w:ascii="Arial" w:hAnsi="Arial" w:cs="Arial"/>
        </w:rPr>
      </w:pPr>
      <w:proofErr w:type="spellStart"/>
      <w:r>
        <w:rPr>
          <w:rFonts w:ascii="Arial" w:hAnsi="Arial" w:cs="Arial"/>
        </w:rPr>
        <w:t>Milnshaw</w:t>
      </w:r>
      <w:proofErr w:type="spellEnd"/>
    </w:p>
    <w:p w14:paraId="30C4EA9C" w14:textId="24666E38" w:rsidR="003416A6" w:rsidRDefault="003416A6" w:rsidP="003416A6">
      <w:pPr>
        <w:pStyle w:val="ListParagraph"/>
        <w:numPr>
          <w:ilvl w:val="0"/>
          <w:numId w:val="39"/>
        </w:numPr>
        <w:spacing w:after="0" w:line="300" w:lineRule="atLeast"/>
        <w:rPr>
          <w:rFonts w:ascii="Arial" w:hAnsi="Arial" w:cs="Arial"/>
        </w:rPr>
      </w:pPr>
      <w:r>
        <w:rPr>
          <w:rFonts w:ascii="Arial" w:hAnsi="Arial" w:cs="Arial"/>
        </w:rPr>
        <w:t>Overton</w:t>
      </w:r>
    </w:p>
    <w:p w14:paraId="5CFE13A0" w14:textId="16B174B7" w:rsidR="003416A6" w:rsidRDefault="003416A6" w:rsidP="003416A6">
      <w:pPr>
        <w:pStyle w:val="ListParagraph"/>
        <w:numPr>
          <w:ilvl w:val="0"/>
          <w:numId w:val="39"/>
        </w:numPr>
        <w:spacing w:after="0" w:line="300" w:lineRule="atLeast"/>
        <w:rPr>
          <w:rFonts w:ascii="Arial" w:hAnsi="Arial" w:cs="Arial"/>
        </w:rPr>
      </w:pPr>
      <w:r>
        <w:rPr>
          <w:rFonts w:ascii="Arial" w:hAnsi="Arial" w:cs="Arial"/>
        </w:rPr>
        <w:t>St Oswalds</w:t>
      </w:r>
    </w:p>
    <w:p w14:paraId="4482C381" w14:textId="77777777" w:rsidR="00B01E3E" w:rsidRPr="00934801" w:rsidRDefault="00B01E3E" w:rsidP="00934801">
      <w:pPr>
        <w:spacing w:after="0" w:line="300" w:lineRule="atLeast"/>
        <w:rPr>
          <w:rFonts w:ascii="Arial" w:hAnsi="Arial" w:cs="Arial"/>
        </w:rPr>
      </w:pPr>
    </w:p>
    <w:p w14:paraId="6792FE95" w14:textId="529E54C3" w:rsidR="00A02767" w:rsidRPr="0007474B" w:rsidRDefault="0007474B" w:rsidP="0007474B">
      <w:pPr>
        <w:spacing w:after="0" w:line="300" w:lineRule="atLeast"/>
        <w:ind w:left="720" w:hanging="720"/>
        <w:rPr>
          <w:rFonts w:ascii="Arial" w:hAnsi="Arial" w:cs="Arial"/>
        </w:rPr>
      </w:pPr>
      <w:r>
        <w:rPr>
          <w:rFonts w:ascii="Arial" w:hAnsi="Arial" w:cs="Arial"/>
        </w:rPr>
        <w:t>7.</w:t>
      </w:r>
      <w:r w:rsidR="001E1B7F">
        <w:rPr>
          <w:rFonts w:ascii="Arial" w:hAnsi="Arial" w:cs="Arial"/>
        </w:rPr>
        <w:t>4</w:t>
      </w:r>
      <w:r>
        <w:rPr>
          <w:rFonts w:ascii="Arial" w:hAnsi="Arial" w:cs="Arial"/>
        </w:rPr>
        <w:tab/>
      </w:r>
      <w:r w:rsidR="00D74B46" w:rsidRPr="0007474B">
        <w:rPr>
          <w:rFonts w:ascii="Arial" w:hAnsi="Arial" w:cs="Arial"/>
        </w:rPr>
        <w:t>S</w:t>
      </w:r>
      <w:r w:rsidR="00497BD4" w:rsidRPr="0007474B">
        <w:rPr>
          <w:rFonts w:ascii="Arial" w:hAnsi="Arial" w:cs="Arial"/>
        </w:rPr>
        <w:t xml:space="preserve">ection </w:t>
      </w:r>
      <w:r w:rsidR="003416A6" w:rsidRPr="0007474B">
        <w:rPr>
          <w:rFonts w:ascii="Arial" w:hAnsi="Arial" w:cs="Arial"/>
        </w:rPr>
        <w:t>5</w:t>
      </w:r>
      <w:r w:rsidR="00497BD4" w:rsidRPr="0007474B">
        <w:rPr>
          <w:rFonts w:ascii="Arial" w:hAnsi="Arial" w:cs="Arial"/>
        </w:rPr>
        <w:t xml:space="preserve"> of this document has identified a set of unique circumstances </w:t>
      </w:r>
      <w:r w:rsidR="007A2C41" w:rsidRPr="0007474B">
        <w:rPr>
          <w:rFonts w:ascii="Arial" w:hAnsi="Arial" w:cs="Arial"/>
        </w:rPr>
        <w:t>in</w:t>
      </w:r>
      <w:r w:rsidR="00497BD4" w:rsidRPr="0007474B">
        <w:rPr>
          <w:rFonts w:ascii="Arial" w:hAnsi="Arial" w:cs="Arial"/>
        </w:rPr>
        <w:t xml:space="preserve"> Hyndburn. Given the low property prices, high level</w:t>
      </w:r>
      <w:r w:rsidR="007A2C41" w:rsidRPr="0007474B">
        <w:rPr>
          <w:rFonts w:ascii="Arial" w:hAnsi="Arial" w:cs="Arial"/>
        </w:rPr>
        <w:t>s</w:t>
      </w:r>
      <w:r w:rsidR="00497BD4" w:rsidRPr="0007474B">
        <w:rPr>
          <w:rFonts w:ascii="Arial" w:hAnsi="Arial" w:cs="Arial"/>
        </w:rPr>
        <w:t xml:space="preserve"> of </w:t>
      </w:r>
      <w:r w:rsidR="00D54767" w:rsidRPr="0007474B">
        <w:rPr>
          <w:rFonts w:ascii="Arial" w:hAnsi="Arial" w:cs="Arial"/>
        </w:rPr>
        <w:t>household depriv</w:t>
      </w:r>
      <w:r w:rsidR="00C742DD" w:rsidRPr="0007474B">
        <w:rPr>
          <w:rFonts w:ascii="Arial" w:hAnsi="Arial" w:cs="Arial"/>
        </w:rPr>
        <w:t>ation</w:t>
      </w:r>
      <w:r w:rsidR="007A2C41" w:rsidRPr="0007474B">
        <w:rPr>
          <w:rFonts w:ascii="Arial" w:hAnsi="Arial" w:cs="Arial"/>
        </w:rPr>
        <w:t>, low wage economy</w:t>
      </w:r>
      <w:r w:rsidR="0084096A">
        <w:rPr>
          <w:rFonts w:ascii="Arial" w:hAnsi="Arial" w:cs="Arial"/>
        </w:rPr>
        <w:t>,</w:t>
      </w:r>
      <w:r w:rsidR="007A2C41" w:rsidRPr="0007474B">
        <w:rPr>
          <w:rFonts w:ascii="Arial" w:hAnsi="Arial" w:cs="Arial"/>
        </w:rPr>
        <w:t xml:space="preserve"> economically</w:t>
      </w:r>
      <w:r w:rsidR="00C742DD" w:rsidRPr="0007474B">
        <w:rPr>
          <w:rFonts w:ascii="Arial" w:hAnsi="Arial" w:cs="Arial"/>
        </w:rPr>
        <w:t xml:space="preserve"> in</w:t>
      </w:r>
      <w:r w:rsidR="009D1427" w:rsidRPr="0007474B">
        <w:rPr>
          <w:rFonts w:ascii="Arial" w:hAnsi="Arial" w:cs="Arial"/>
        </w:rPr>
        <w:t>active population</w:t>
      </w:r>
      <w:r w:rsidR="007A2C41" w:rsidRPr="0007474B">
        <w:rPr>
          <w:rFonts w:ascii="Arial" w:hAnsi="Arial" w:cs="Arial"/>
        </w:rPr>
        <w:t xml:space="preserve"> and the lack </w:t>
      </w:r>
      <w:r w:rsidR="00D54767" w:rsidRPr="0007474B">
        <w:rPr>
          <w:rFonts w:ascii="Arial" w:hAnsi="Arial" w:cs="Arial"/>
        </w:rPr>
        <w:t xml:space="preserve">of </w:t>
      </w:r>
      <w:r w:rsidR="007A2C41" w:rsidRPr="0007474B">
        <w:rPr>
          <w:rFonts w:ascii="Arial" w:hAnsi="Arial" w:cs="Arial"/>
        </w:rPr>
        <w:t xml:space="preserve">an </w:t>
      </w:r>
      <w:r w:rsidR="00C742DD" w:rsidRPr="0007474B">
        <w:rPr>
          <w:rFonts w:ascii="Arial" w:hAnsi="Arial" w:cs="Arial"/>
        </w:rPr>
        <w:t>extant Article 4 Direction for HMOs in pl</w:t>
      </w:r>
      <w:r w:rsidR="009D1427" w:rsidRPr="0007474B">
        <w:rPr>
          <w:rFonts w:ascii="Arial" w:hAnsi="Arial" w:cs="Arial"/>
        </w:rPr>
        <w:t xml:space="preserve">ace, Hyndburn </w:t>
      </w:r>
      <w:r w:rsidR="00B01E3E" w:rsidRPr="0007474B">
        <w:rPr>
          <w:rFonts w:ascii="Arial" w:hAnsi="Arial" w:cs="Arial"/>
        </w:rPr>
        <w:t>has become</w:t>
      </w:r>
      <w:r w:rsidR="009D1427" w:rsidRPr="0007474B">
        <w:rPr>
          <w:rFonts w:ascii="Arial" w:hAnsi="Arial" w:cs="Arial"/>
        </w:rPr>
        <w:t xml:space="preserve"> a place </w:t>
      </w:r>
      <w:r w:rsidR="007A2C41" w:rsidRPr="0007474B">
        <w:rPr>
          <w:rFonts w:ascii="Arial" w:hAnsi="Arial" w:cs="Arial"/>
        </w:rPr>
        <w:t xml:space="preserve">which is </w:t>
      </w:r>
      <w:r w:rsidR="00B01E3E" w:rsidRPr="0007474B">
        <w:rPr>
          <w:rFonts w:ascii="Arial" w:hAnsi="Arial" w:cs="Arial"/>
        </w:rPr>
        <w:t>attracting private landlords, Government partnerships and private care providers</w:t>
      </w:r>
      <w:r w:rsidR="00371274" w:rsidRPr="0007474B">
        <w:rPr>
          <w:rFonts w:ascii="Arial" w:hAnsi="Arial" w:cs="Arial"/>
        </w:rPr>
        <w:t xml:space="preserve"> investing in the Borough providing both large </w:t>
      </w:r>
      <w:r w:rsidR="0084096A">
        <w:rPr>
          <w:rFonts w:ascii="Arial" w:hAnsi="Arial" w:cs="Arial"/>
        </w:rPr>
        <w:t>and</w:t>
      </w:r>
      <w:r w:rsidR="00371274" w:rsidRPr="0007474B">
        <w:rPr>
          <w:rFonts w:ascii="Arial" w:hAnsi="Arial" w:cs="Arial"/>
        </w:rPr>
        <w:t xml:space="preserve"> small </w:t>
      </w:r>
      <w:r w:rsidR="00F56D11" w:rsidRPr="0007474B">
        <w:rPr>
          <w:rFonts w:ascii="Arial" w:hAnsi="Arial" w:cs="Arial"/>
        </w:rPr>
        <w:t>HMOs.</w:t>
      </w:r>
      <w:r w:rsidR="001F4BC1" w:rsidRPr="0007474B">
        <w:rPr>
          <w:rFonts w:ascii="Arial" w:hAnsi="Arial" w:cs="Arial"/>
        </w:rPr>
        <w:t xml:space="preserve"> Without </w:t>
      </w:r>
      <w:r w:rsidR="00A02767" w:rsidRPr="0007474B">
        <w:rPr>
          <w:rFonts w:ascii="Arial" w:hAnsi="Arial" w:cs="Arial"/>
        </w:rPr>
        <w:t>any</w:t>
      </w:r>
      <w:r w:rsidR="001F4BC1" w:rsidRPr="0007474B">
        <w:rPr>
          <w:rFonts w:ascii="Arial" w:hAnsi="Arial" w:cs="Arial"/>
        </w:rPr>
        <w:t xml:space="preserve"> Article 4 Direction to manage </w:t>
      </w:r>
      <w:r w:rsidR="00B01E3E" w:rsidRPr="0007474B">
        <w:rPr>
          <w:rFonts w:ascii="Arial" w:hAnsi="Arial" w:cs="Arial"/>
        </w:rPr>
        <w:t>the provision and distribution of small HMOs (which can be formed through the change of use of dwelling</w:t>
      </w:r>
      <w:r w:rsidR="00B77FC5" w:rsidRPr="0007474B">
        <w:rPr>
          <w:rFonts w:ascii="Arial" w:hAnsi="Arial" w:cs="Arial"/>
        </w:rPr>
        <w:t xml:space="preserve"> </w:t>
      </w:r>
      <w:r w:rsidR="00B01E3E" w:rsidRPr="0007474B">
        <w:rPr>
          <w:rFonts w:ascii="Arial" w:hAnsi="Arial" w:cs="Arial"/>
        </w:rPr>
        <w:t>house</w:t>
      </w:r>
      <w:r w:rsidR="00B77FC5" w:rsidRPr="0007474B">
        <w:rPr>
          <w:rFonts w:ascii="Arial" w:hAnsi="Arial" w:cs="Arial"/>
        </w:rPr>
        <w:t>s</w:t>
      </w:r>
      <w:r w:rsidR="00B01E3E" w:rsidRPr="0007474B">
        <w:rPr>
          <w:rFonts w:ascii="Arial" w:hAnsi="Arial" w:cs="Arial"/>
        </w:rPr>
        <w:t xml:space="preserve"> under permitted development rights)</w:t>
      </w:r>
      <w:r w:rsidR="001F4BC1" w:rsidRPr="0007474B">
        <w:rPr>
          <w:rFonts w:ascii="Arial" w:hAnsi="Arial" w:cs="Arial"/>
        </w:rPr>
        <w:t>, the Council ha</w:t>
      </w:r>
      <w:r w:rsidR="007A2C41" w:rsidRPr="0007474B">
        <w:rPr>
          <w:rFonts w:ascii="Arial" w:hAnsi="Arial" w:cs="Arial"/>
        </w:rPr>
        <w:t>s</w:t>
      </w:r>
      <w:r w:rsidR="001F4BC1" w:rsidRPr="0007474B">
        <w:rPr>
          <w:rFonts w:ascii="Arial" w:hAnsi="Arial" w:cs="Arial"/>
        </w:rPr>
        <w:t xml:space="preserve"> little control over the location and the density of the HMOs within the Borough</w:t>
      </w:r>
      <w:r w:rsidR="00B01E3E" w:rsidRPr="0007474B">
        <w:rPr>
          <w:rFonts w:ascii="Arial" w:hAnsi="Arial" w:cs="Arial"/>
        </w:rPr>
        <w:t>, and their cumulative impact on the local amenity and community</w:t>
      </w:r>
      <w:r w:rsidR="001F4BC1" w:rsidRPr="0007474B">
        <w:rPr>
          <w:rFonts w:ascii="Arial" w:hAnsi="Arial" w:cs="Arial"/>
        </w:rPr>
        <w:t>.</w:t>
      </w:r>
      <w:r w:rsidR="00B77FC5" w:rsidRPr="0007474B">
        <w:rPr>
          <w:rFonts w:ascii="Arial" w:hAnsi="Arial" w:cs="Arial"/>
        </w:rPr>
        <w:t xml:space="preserve"> </w:t>
      </w:r>
      <w:r w:rsidR="001F4BC1" w:rsidRPr="0007474B">
        <w:rPr>
          <w:rFonts w:ascii="Arial" w:hAnsi="Arial" w:cs="Arial"/>
        </w:rPr>
        <w:t>Through the analysis in</w:t>
      </w:r>
      <w:r w:rsidR="00EC58D9" w:rsidRPr="0007474B">
        <w:rPr>
          <w:rFonts w:ascii="Arial" w:hAnsi="Arial" w:cs="Arial"/>
        </w:rPr>
        <w:t xml:space="preserve"> Section</w:t>
      </w:r>
      <w:r w:rsidR="001F4BC1" w:rsidRPr="0007474B">
        <w:rPr>
          <w:rFonts w:ascii="Arial" w:hAnsi="Arial" w:cs="Arial"/>
        </w:rPr>
        <w:t xml:space="preserve"> </w:t>
      </w:r>
      <w:r w:rsidR="00B01E3E" w:rsidRPr="0007474B">
        <w:rPr>
          <w:rFonts w:ascii="Arial" w:hAnsi="Arial" w:cs="Arial"/>
        </w:rPr>
        <w:t>5 and 6</w:t>
      </w:r>
      <w:r w:rsidR="008D5881" w:rsidRPr="0007474B">
        <w:rPr>
          <w:rFonts w:ascii="Arial" w:hAnsi="Arial" w:cs="Arial"/>
        </w:rPr>
        <w:t xml:space="preserve"> of this paper</w:t>
      </w:r>
      <w:r w:rsidR="001F4BC1" w:rsidRPr="0007474B">
        <w:rPr>
          <w:rFonts w:ascii="Arial" w:hAnsi="Arial" w:cs="Arial"/>
        </w:rPr>
        <w:t xml:space="preserve">, it </w:t>
      </w:r>
      <w:r w:rsidR="00B01E3E" w:rsidRPr="0007474B">
        <w:rPr>
          <w:rFonts w:ascii="Arial" w:hAnsi="Arial" w:cs="Arial"/>
        </w:rPr>
        <w:t>is particularly noted</w:t>
      </w:r>
      <w:r w:rsidR="001F4BC1" w:rsidRPr="0007474B">
        <w:rPr>
          <w:rFonts w:ascii="Arial" w:hAnsi="Arial" w:cs="Arial"/>
        </w:rPr>
        <w:t xml:space="preserve"> that there has been clear </w:t>
      </w:r>
      <w:r w:rsidR="00A02767" w:rsidRPr="0007474B">
        <w:rPr>
          <w:rFonts w:ascii="Arial" w:hAnsi="Arial" w:cs="Arial"/>
        </w:rPr>
        <w:t>overlapping of the areas with</w:t>
      </w:r>
      <w:r w:rsidR="001F4BC1" w:rsidRPr="0007474B">
        <w:rPr>
          <w:rFonts w:ascii="Arial" w:hAnsi="Arial" w:cs="Arial"/>
        </w:rPr>
        <w:t xml:space="preserve"> </w:t>
      </w:r>
      <w:r w:rsidR="00B01E3E" w:rsidRPr="0007474B">
        <w:rPr>
          <w:rFonts w:ascii="Arial" w:hAnsi="Arial" w:cs="Arial"/>
        </w:rPr>
        <w:t>high level</w:t>
      </w:r>
      <w:r w:rsidR="0084096A">
        <w:rPr>
          <w:rFonts w:ascii="Arial" w:hAnsi="Arial" w:cs="Arial"/>
        </w:rPr>
        <w:t>s</w:t>
      </w:r>
      <w:r w:rsidR="00B01E3E" w:rsidRPr="0007474B">
        <w:rPr>
          <w:rFonts w:ascii="Arial" w:hAnsi="Arial" w:cs="Arial"/>
        </w:rPr>
        <w:t xml:space="preserve"> of concentration of HMOs, high level</w:t>
      </w:r>
      <w:r w:rsidR="0084096A">
        <w:rPr>
          <w:rFonts w:ascii="Arial" w:hAnsi="Arial" w:cs="Arial"/>
        </w:rPr>
        <w:t>s</w:t>
      </w:r>
      <w:r w:rsidR="00B01E3E" w:rsidRPr="0007474B">
        <w:rPr>
          <w:rFonts w:ascii="Arial" w:hAnsi="Arial" w:cs="Arial"/>
        </w:rPr>
        <w:t xml:space="preserve"> of deprivation, higher</w:t>
      </w:r>
      <w:r w:rsidR="00A02767" w:rsidRPr="0007474B">
        <w:rPr>
          <w:rFonts w:ascii="Arial" w:hAnsi="Arial" w:cs="Arial"/>
        </w:rPr>
        <w:t xml:space="preserve"> crime</w:t>
      </w:r>
      <w:r w:rsidR="00B01E3E" w:rsidRPr="0007474B">
        <w:rPr>
          <w:rFonts w:ascii="Arial" w:hAnsi="Arial" w:cs="Arial"/>
        </w:rPr>
        <w:t xml:space="preserve"> rate, and </w:t>
      </w:r>
      <w:r w:rsidR="0084096A">
        <w:rPr>
          <w:rFonts w:ascii="Arial" w:hAnsi="Arial" w:cs="Arial"/>
        </w:rPr>
        <w:t xml:space="preserve">those </w:t>
      </w:r>
      <w:r w:rsidR="00B01E3E" w:rsidRPr="0007474B">
        <w:rPr>
          <w:rFonts w:ascii="Arial" w:hAnsi="Arial" w:cs="Arial"/>
        </w:rPr>
        <w:t>report</w:t>
      </w:r>
      <w:r w:rsidR="0084096A">
        <w:rPr>
          <w:rFonts w:ascii="Arial" w:hAnsi="Arial" w:cs="Arial"/>
        </w:rPr>
        <w:t>ing most</w:t>
      </w:r>
      <w:r w:rsidR="00B01E3E" w:rsidRPr="0007474B">
        <w:rPr>
          <w:rFonts w:ascii="Arial" w:hAnsi="Arial" w:cs="Arial"/>
        </w:rPr>
        <w:t xml:space="preserve"> housing disrepair.  </w:t>
      </w:r>
    </w:p>
    <w:p w14:paraId="0A2EA208" w14:textId="77777777" w:rsidR="008234ED" w:rsidRPr="00E810AA" w:rsidRDefault="008234ED" w:rsidP="00E810AA">
      <w:pPr>
        <w:pStyle w:val="ListParagraph"/>
        <w:spacing w:after="0" w:line="300" w:lineRule="atLeast"/>
        <w:ind w:left="709"/>
        <w:contextualSpacing w:val="0"/>
        <w:rPr>
          <w:rFonts w:ascii="Arial" w:hAnsi="Arial" w:cs="Arial"/>
        </w:rPr>
      </w:pPr>
    </w:p>
    <w:p w14:paraId="3A0AC39B" w14:textId="2A3DA55B" w:rsidR="00A02767" w:rsidRPr="001E1B7F" w:rsidRDefault="001E1B7F" w:rsidP="001E1B7F">
      <w:pPr>
        <w:spacing w:after="0" w:line="300" w:lineRule="atLeast"/>
        <w:ind w:left="709" w:hanging="709"/>
        <w:rPr>
          <w:rFonts w:ascii="Arial" w:hAnsi="Arial" w:cs="Arial"/>
        </w:rPr>
      </w:pPr>
      <w:r>
        <w:rPr>
          <w:rFonts w:ascii="Arial" w:hAnsi="Arial" w:cs="Arial"/>
        </w:rPr>
        <w:t>7.5</w:t>
      </w:r>
      <w:r>
        <w:rPr>
          <w:rFonts w:ascii="Arial" w:hAnsi="Arial" w:cs="Arial"/>
        </w:rPr>
        <w:tab/>
      </w:r>
      <w:r w:rsidR="00B92CAE" w:rsidRPr="001E1B7F">
        <w:rPr>
          <w:rFonts w:ascii="Arial" w:hAnsi="Arial" w:cs="Arial"/>
        </w:rPr>
        <w:t>T</w:t>
      </w:r>
      <w:r w:rsidR="00190741" w:rsidRPr="001E1B7F">
        <w:rPr>
          <w:rFonts w:ascii="Arial" w:hAnsi="Arial" w:cs="Arial"/>
        </w:rPr>
        <w:t xml:space="preserve">here is no evidence demonstrating that the high concentration of HMOs </w:t>
      </w:r>
      <w:r w:rsidR="007A2C41" w:rsidRPr="001E1B7F">
        <w:rPr>
          <w:rFonts w:ascii="Arial" w:hAnsi="Arial" w:cs="Arial"/>
        </w:rPr>
        <w:t xml:space="preserve">are </w:t>
      </w:r>
      <w:r w:rsidR="00190741" w:rsidRPr="001E1B7F">
        <w:rPr>
          <w:rFonts w:ascii="Arial" w:hAnsi="Arial" w:cs="Arial"/>
        </w:rPr>
        <w:t xml:space="preserve">directly </w:t>
      </w:r>
      <w:r w:rsidRPr="001E1B7F">
        <w:rPr>
          <w:rFonts w:ascii="Arial" w:hAnsi="Arial" w:cs="Arial"/>
        </w:rPr>
        <w:t xml:space="preserve">    </w:t>
      </w:r>
      <w:r w:rsidR="00190741" w:rsidRPr="001E1B7F">
        <w:rPr>
          <w:rFonts w:ascii="Arial" w:hAnsi="Arial" w:cs="Arial"/>
        </w:rPr>
        <w:t>responsible for the social and economic issue</w:t>
      </w:r>
      <w:r w:rsidR="0084096A">
        <w:rPr>
          <w:rFonts w:ascii="Arial" w:hAnsi="Arial" w:cs="Arial"/>
        </w:rPr>
        <w:t>s</w:t>
      </w:r>
      <w:r w:rsidR="00190741" w:rsidRPr="001E1B7F">
        <w:rPr>
          <w:rFonts w:ascii="Arial" w:hAnsi="Arial" w:cs="Arial"/>
        </w:rPr>
        <w:t xml:space="preserve"> identified in this document. </w:t>
      </w:r>
      <w:r w:rsidR="00B92CAE" w:rsidRPr="001E1B7F">
        <w:rPr>
          <w:rFonts w:ascii="Arial" w:hAnsi="Arial" w:cs="Arial"/>
        </w:rPr>
        <w:t xml:space="preserve"> </w:t>
      </w:r>
      <w:r w:rsidR="007A2C41" w:rsidRPr="001E1B7F">
        <w:rPr>
          <w:rFonts w:ascii="Arial" w:hAnsi="Arial" w:cs="Arial"/>
        </w:rPr>
        <w:t xml:space="preserve">There is evidence, however that they could be and it is considered that </w:t>
      </w:r>
      <w:r w:rsidR="0084096A">
        <w:rPr>
          <w:rFonts w:ascii="Arial" w:hAnsi="Arial" w:cs="Arial"/>
        </w:rPr>
        <w:t>this</w:t>
      </w:r>
      <w:r w:rsidR="007A2C41" w:rsidRPr="001E1B7F">
        <w:rPr>
          <w:rFonts w:ascii="Arial" w:hAnsi="Arial" w:cs="Arial"/>
        </w:rPr>
        <w:t xml:space="preserve"> requires closer monitoring.  M</w:t>
      </w:r>
      <w:r w:rsidR="00190741" w:rsidRPr="001E1B7F">
        <w:rPr>
          <w:rFonts w:ascii="Arial" w:hAnsi="Arial" w:cs="Arial"/>
        </w:rPr>
        <w:t xml:space="preserve">anaging the future provision and distribution of HMOs </w:t>
      </w:r>
      <w:r w:rsidR="003876C4" w:rsidRPr="001E1B7F">
        <w:rPr>
          <w:rFonts w:ascii="Arial" w:hAnsi="Arial" w:cs="Arial"/>
        </w:rPr>
        <w:t xml:space="preserve">through the introduction of </w:t>
      </w:r>
      <w:r w:rsidR="007A2C41" w:rsidRPr="001E1B7F">
        <w:rPr>
          <w:rFonts w:ascii="Arial" w:hAnsi="Arial" w:cs="Arial"/>
        </w:rPr>
        <w:t xml:space="preserve">an additional </w:t>
      </w:r>
      <w:r w:rsidR="003876C4" w:rsidRPr="001E1B7F">
        <w:rPr>
          <w:rFonts w:ascii="Arial" w:hAnsi="Arial" w:cs="Arial"/>
        </w:rPr>
        <w:t xml:space="preserve">Article 4 Direction </w:t>
      </w:r>
      <w:r w:rsidR="007A2C41" w:rsidRPr="001E1B7F">
        <w:rPr>
          <w:rFonts w:ascii="Arial" w:hAnsi="Arial" w:cs="Arial"/>
        </w:rPr>
        <w:t xml:space="preserve">for the </w:t>
      </w:r>
      <w:r w:rsidR="0084096A">
        <w:rPr>
          <w:rFonts w:ascii="Arial" w:hAnsi="Arial" w:cs="Arial"/>
        </w:rPr>
        <w:t>remaining 7 wards</w:t>
      </w:r>
      <w:r w:rsidR="007A2C41" w:rsidRPr="001E1B7F">
        <w:rPr>
          <w:rFonts w:ascii="Arial" w:hAnsi="Arial" w:cs="Arial"/>
        </w:rPr>
        <w:t xml:space="preserve"> </w:t>
      </w:r>
      <w:r w:rsidR="00B92CAE" w:rsidRPr="001E1B7F">
        <w:rPr>
          <w:rFonts w:ascii="Arial" w:hAnsi="Arial" w:cs="Arial"/>
        </w:rPr>
        <w:t>would give the Council more power to control potential adverse impacts arising from HMO’s by requiring planning permission</w:t>
      </w:r>
      <w:r w:rsidR="000A617D" w:rsidRPr="001E1B7F">
        <w:rPr>
          <w:rFonts w:ascii="Arial" w:hAnsi="Arial" w:cs="Arial"/>
        </w:rPr>
        <w:t xml:space="preserve">. </w:t>
      </w:r>
      <w:r w:rsidR="00A02767" w:rsidRPr="001E1B7F">
        <w:rPr>
          <w:rFonts w:ascii="Arial" w:hAnsi="Arial" w:cs="Arial"/>
        </w:rPr>
        <w:t xml:space="preserve"> </w:t>
      </w:r>
    </w:p>
    <w:p w14:paraId="49FEDBB6" w14:textId="77777777" w:rsidR="008234ED" w:rsidRPr="00E810AA" w:rsidRDefault="008234ED" w:rsidP="008234ED">
      <w:pPr>
        <w:pStyle w:val="ListParagraph"/>
        <w:spacing w:after="0" w:line="300" w:lineRule="atLeast"/>
        <w:ind w:left="709"/>
        <w:contextualSpacing w:val="0"/>
        <w:rPr>
          <w:rFonts w:ascii="Arial" w:hAnsi="Arial" w:cs="Arial"/>
        </w:rPr>
      </w:pPr>
    </w:p>
    <w:p w14:paraId="5DEBF376" w14:textId="1B1E9219" w:rsidR="00971E53" w:rsidRPr="00841801" w:rsidRDefault="00841801" w:rsidP="001E1B7F">
      <w:pPr>
        <w:pStyle w:val="Heading1"/>
        <w:spacing w:before="0" w:line="300" w:lineRule="atLeast"/>
        <w:rPr>
          <w:rFonts w:ascii="Arial" w:hAnsi="Arial" w:cs="Arial"/>
          <w:b/>
          <w:sz w:val="24"/>
          <w:szCs w:val="24"/>
        </w:rPr>
      </w:pPr>
      <w:r w:rsidRPr="00841801">
        <w:rPr>
          <w:rFonts w:ascii="Arial" w:hAnsi="Arial" w:cs="Arial"/>
          <w:b/>
          <w:sz w:val="24"/>
          <w:szCs w:val="24"/>
        </w:rPr>
        <w:lastRenderedPageBreak/>
        <w:t>8.</w:t>
      </w:r>
      <w:bookmarkStart w:id="7" w:name="_Toc223633623"/>
      <w:r w:rsidRPr="00841801">
        <w:rPr>
          <w:rFonts w:ascii="Arial" w:hAnsi="Arial" w:cs="Arial"/>
          <w:b/>
          <w:sz w:val="24"/>
          <w:szCs w:val="24"/>
        </w:rPr>
        <w:tab/>
      </w:r>
      <w:r w:rsidR="00C36E3A" w:rsidRPr="00841801">
        <w:rPr>
          <w:rFonts w:ascii="Arial" w:hAnsi="Arial" w:cs="Arial"/>
          <w:b/>
          <w:sz w:val="24"/>
          <w:szCs w:val="24"/>
        </w:rPr>
        <w:t>Procedure and Further Implications</w:t>
      </w:r>
      <w:bookmarkEnd w:id="7"/>
      <w:r w:rsidR="00C36E3A" w:rsidRPr="00841801">
        <w:rPr>
          <w:rFonts w:ascii="Arial" w:hAnsi="Arial" w:cs="Arial"/>
          <w:b/>
          <w:sz w:val="24"/>
          <w:szCs w:val="24"/>
        </w:rPr>
        <w:t xml:space="preserve"> </w:t>
      </w:r>
      <w:r w:rsidR="00971E53" w:rsidRPr="00841801">
        <w:rPr>
          <w:rFonts w:ascii="Arial" w:hAnsi="Arial" w:cs="Arial"/>
          <w:b/>
          <w:sz w:val="24"/>
          <w:szCs w:val="24"/>
        </w:rPr>
        <w:t xml:space="preserve"> </w:t>
      </w:r>
    </w:p>
    <w:p w14:paraId="3FE7DF84" w14:textId="77777777" w:rsidR="00971E53" w:rsidRPr="00E810AA" w:rsidRDefault="00971E53" w:rsidP="00E810AA">
      <w:pPr>
        <w:spacing w:after="0" w:line="300" w:lineRule="atLeast"/>
        <w:rPr>
          <w:rFonts w:ascii="Arial" w:hAnsi="Arial" w:cs="Arial"/>
        </w:rPr>
      </w:pPr>
    </w:p>
    <w:p w14:paraId="3D76A923" w14:textId="77777777" w:rsidR="006507A3" w:rsidRPr="008234ED" w:rsidRDefault="006507A3" w:rsidP="00E810AA">
      <w:pPr>
        <w:pStyle w:val="ListParagraph"/>
        <w:numPr>
          <w:ilvl w:val="0"/>
          <w:numId w:val="23"/>
        </w:numPr>
        <w:spacing w:after="0" w:line="300" w:lineRule="atLeast"/>
        <w:ind w:left="1134" w:hanging="283"/>
        <w:contextualSpacing w:val="0"/>
        <w:rPr>
          <w:rFonts w:ascii="Arial" w:hAnsi="Arial" w:cs="Arial"/>
          <w:b/>
        </w:rPr>
      </w:pPr>
      <w:r w:rsidRPr="008234ED">
        <w:rPr>
          <w:rFonts w:ascii="Arial" w:hAnsi="Arial" w:cs="Arial"/>
          <w:b/>
        </w:rPr>
        <w:t>Justification for the Non-Immediate Direction</w:t>
      </w:r>
    </w:p>
    <w:p w14:paraId="0C4389EC" w14:textId="77777777" w:rsidR="008234ED" w:rsidRPr="00E810AA" w:rsidRDefault="008234ED" w:rsidP="008234ED">
      <w:pPr>
        <w:pStyle w:val="ListParagraph"/>
        <w:spacing w:after="0" w:line="300" w:lineRule="atLeast"/>
        <w:ind w:left="1134"/>
        <w:contextualSpacing w:val="0"/>
        <w:rPr>
          <w:rFonts w:ascii="Arial" w:hAnsi="Arial" w:cs="Arial"/>
        </w:rPr>
      </w:pPr>
    </w:p>
    <w:p w14:paraId="50D83753" w14:textId="27860DF9" w:rsidR="008234ED" w:rsidRPr="0084096A" w:rsidRDefault="00E3031B" w:rsidP="0084096A">
      <w:pPr>
        <w:ind w:left="709" w:hanging="709"/>
        <w:rPr>
          <w:rFonts w:ascii="Arial" w:hAnsi="Arial" w:cs="Arial"/>
        </w:rPr>
      </w:pPr>
      <w:r>
        <w:rPr>
          <w:rFonts w:ascii="Arial" w:hAnsi="Arial" w:cs="Arial"/>
        </w:rPr>
        <w:t>8.1</w:t>
      </w:r>
      <w:r>
        <w:rPr>
          <w:rFonts w:ascii="Arial" w:hAnsi="Arial" w:cs="Arial"/>
        </w:rPr>
        <w:tab/>
      </w:r>
      <w:r w:rsidR="00A659E6" w:rsidRPr="00E3031B">
        <w:rPr>
          <w:rFonts w:ascii="Arial" w:hAnsi="Arial" w:cs="Arial"/>
        </w:rPr>
        <w:t>In conclusion, t</w:t>
      </w:r>
      <w:r w:rsidR="00971E53" w:rsidRPr="00E3031B">
        <w:rPr>
          <w:rFonts w:ascii="Arial" w:hAnsi="Arial" w:cs="Arial"/>
        </w:rPr>
        <w:t>he case for a</w:t>
      </w:r>
      <w:r w:rsidR="007A2C41" w:rsidRPr="00E3031B">
        <w:rPr>
          <w:rFonts w:ascii="Arial" w:hAnsi="Arial" w:cs="Arial"/>
        </w:rPr>
        <w:t xml:space="preserve"> further </w:t>
      </w:r>
      <w:r w:rsidR="00971E53" w:rsidRPr="00E3031B">
        <w:rPr>
          <w:rFonts w:ascii="Arial" w:hAnsi="Arial" w:cs="Arial"/>
        </w:rPr>
        <w:t>Article 4 Direction to remove the permitted development rights for the change of use of dwellinghouses to small HMO</w:t>
      </w:r>
      <w:r w:rsidR="00A659E6" w:rsidRPr="00E3031B">
        <w:rPr>
          <w:rFonts w:ascii="Arial" w:hAnsi="Arial" w:cs="Arial"/>
        </w:rPr>
        <w:t xml:space="preserve">s </w:t>
      </w:r>
      <w:r w:rsidR="00B92CAE" w:rsidRPr="00E3031B">
        <w:rPr>
          <w:rFonts w:ascii="Arial" w:hAnsi="Arial" w:cs="Arial"/>
        </w:rPr>
        <w:t xml:space="preserve">in the </w:t>
      </w:r>
      <w:r w:rsidR="008D5881" w:rsidRPr="00E3031B">
        <w:rPr>
          <w:rFonts w:ascii="Arial" w:hAnsi="Arial" w:cs="Arial"/>
        </w:rPr>
        <w:t xml:space="preserve">Wards set out above </w:t>
      </w:r>
      <w:r w:rsidR="004C59AF" w:rsidRPr="00E3031B">
        <w:rPr>
          <w:rFonts w:ascii="Arial" w:hAnsi="Arial" w:cs="Arial"/>
        </w:rPr>
        <w:t>is</w:t>
      </w:r>
      <w:r w:rsidR="00A659E6" w:rsidRPr="00E3031B">
        <w:rPr>
          <w:rFonts w:ascii="Arial" w:hAnsi="Arial" w:cs="Arial"/>
        </w:rPr>
        <w:t xml:space="preserve"> </w:t>
      </w:r>
      <w:r w:rsidR="00B92CAE" w:rsidRPr="00E3031B">
        <w:rPr>
          <w:rFonts w:ascii="Arial" w:hAnsi="Arial" w:cs="Arial"/>
        </w:rPr>
        <w:t xml:space="preserve">demonstrated and </w:t>
      </w:r>
      <w:r w:rsidR="00A659E6" w:rsidRPr="00E3031B">
        <w:rPr>
          <w:rFonts w:ascii="Arial" w:hAnsi="Arial" w:cs="Arial"/>
        </w:rPr>
        <w:t xml:space="preserve">justified. </w:t>
      </w:r>
    </w:p>
    <w:p w14:paraId="6EAF55C5" w14:textId="77777777" w:rsidR="00E3031B" w:rsidRDefault="00E3031B" w:rsidP="00E3031B">
      <w:pPr>
        <w:spacing w:after="0" w:line="300" w:lineRule="atLeast"/>
        <w:ind w:left="709" w:hanging="709"/>
        <w:rPr>
          <w:rFonts w:ascii="Arial" w:hAnsi="Arial" w:cs="Arial"/>
        </w:rPr>
      </w:pPr>
      <w:r>
        <w:rPr>
          <w:rFonts w:ascii="Arial" w:hAnsi="Arial" w:cs="Arial"/>
        </w:rPr>
        <w:t>8.2</w:t>
      </w:r>
      <w:r>
        <w:rPr>
          <w:rFonts w:ascii="Arial" w:hAnsi="Arial" w:cs="Arial"/>
        </w:rPr>
        <w:tab/>
      </w:r>
      <w:r w:rsidR="00A659E6" w:rsidRPr="00E3031B">
        <w:rPr>
          <w:rFonts w:ascii="Arial" w:hAnsi="Arial" w:cs="Arial"/>
        </w:rPr>
        <w:t xml:space="preserve">Article 4 Directions to withdraw permitted development rights can be </w:t>
      </w:r>
      <w:r w:rsidR="00E1515D" w:rsidRPr="00E3031B">
        <w:rPr>
          <w:rFonts w:ascii="Arial" w:hAnsi="Arial" w:cs="Arial"/>
        </w:rPr>
        <w:t xml:space="preserve">made with either immediate effect or non-immediate effect. </w:t>
      </w:r>
      <w:r w:rsidR="00B92CAE" w:rsidRPr="00E3031B">
        <w:rPr>
          <w:rFonts w:ascii="Arial" w:hAnsi="Arial" w:cs="Arial"/>
        </w:rPr>
        <w:t xml:space="preserve"> </w:t>
      </w:r>
      <w:r w:rsidR="00E1515D" w:rsidRPr="00E3031B">
        <w:rPr>
          <w:rFonts w:ascii="Arial" w:hAnsi="Arial" w:cs="Arial"/>
        </w:rPr>
        <w:t xml:space="preserve">With non-immediate Directions, permitted development rights are only withdrawn after a period of consultation and confirmation of the Direction. </w:t>
      </w:r>
      <w:r w:rsidR="00B92CAE" w:rsidRPr="00E3031B">
        <w:rPr>
          <w:rFonts w:ascii="Arial" w:hAnsi="Arial" w:cs="Arial"/>
        </w:rPr>
        <w:t xml:space="preserve"> </w:t>
      </w:r>
    </w:p>
    <w:p w14:paraId="0AB1C8C1" w14:textId="77777777" w:rsidR="00E3031B" w:rsidRDefault="00E3031B" w:rsidP="00E3031B">
      <w:pPr>
        <w:spacing w:after="0" w:line="300" w:lineRule="atLeast"/>
        <w:ind w:left="709" w:hanging="709"/>
        <w:rPr>
          <w:rFonts w:ascii="Arial" w:hAnsi="Arial" w:cs="Arial"/>
        </w:rPr>
      </w:pPr>
    </w:p>
    <w:p w14:paraId="18BEB4A8" w14:textId="04C1396F" w:rsidR="00E3031B" w:rsidRDefault="00E3031B" w:rsidP="00E3031B">
      <w:pPr>
        <w:spacing w:after="0" w:line="300" w:lineRule="atLeast"/>
        <w:ind w:left="709" w:hanging="709"/>
        <w:rPr>
          <w:rFonts w:ascii="Arial" w:hAnsi="Arial" w:cs="Arial"/>
        </w:rPr>
      </w:pPr>
      <w:r>
        <w:rPr>
          <w:rFonts w:ascii="Arial" w:hAnsi="Arial" w:cs="Arial"/>
        </w:rPr>
        <w:t>8.3</w:t>
      </w:r>
      <w:r>
        <w:rPr>
          <w:rFonts w:ascii="Arial" w:hAnsi="Arial" w:cs="Arial"/>
        </w:rPr>
        <w:tab/>
      </w:r>
      <w:r w:rsidR="00E1515D" w:rsidRPr="00E3031B">
        <w:rPr>
          <w:rFonts w:ascii="Arial" w:hAnsi="Arial" w:cs="Arial"/>
        </w:rPr>
        <w:t xml:space="preserve">There are compensation liabilities arising from the making of an </w:t>
      </w:r>
      <w:r w:rsidR="00345089" w:rsidRPr="00E3031B">
        <w:rPr>
          <w:rFonts w:ascii="Arial" w:hAnsi="Arial" w:cs="Arial"/>
        </w:rPr>
        <w:t xml:space="preserve">immediate Article 4 Direction. For a period of up to 12 months after making an Article 4 Direction, developers can claim compensation for any abortive expenditure or other loss attributed to the withdrawal of permitted development rights. This could arise in circumstances where planning permission was refused or granted subject to restrictive conditions. However, where a minimum of </w:t>
      </w:r>
      <w:r w:rsidR="00316A01" w:rsidRPr="00E3031B">
        <w:rPr>
          <w:rFonts w:ascii="Arial" w:hAnsi="Arial" w:cs="Arial"/>
        </w:rPr>
        <w:t>12 months of notice of the withdrawal of permitted development rights is giv</w:t>
      </w:r>
      <w:r w:rsidR="008D5881" w:rsidRPr="00E3031B">
        <w:rPr>
          <w:rFonts w:ascii="Arial" w:hAnsi="Arial" w:cs="Arial"/>
        </w:rPr>
        <w:t>en</w:t>
      </w:r>
      <w:r w:rsidR="00316A01" w:rsidRPr="00E3031B">
        <w:rPr>
          <w:rFonts w:ascii="Arial" w:hAnsi="Arial" w:cs="Arial"/>
        </w:rPr>
        <w:t xml:space="preserve"> prior to it coming into force, there is no ability to claim compensation.</w:t>
      </w:r>
    </w:p>
    <w:p w14:paraId="1B0A092E" w14:textId="77777777" w:rsidR="00E3031B" w:rsidRDefault="00E3031B" w:rsidP="00E3031B">
      <w:pPr>
        <w:spacing w:after="0" w:line="300" w:lineRule="atLeast"/>
        <w:ind w:left="709" w:hanging="709"/>
        <w:rPr>
          <w:rFonts w:ascii="Arial" w:hAnsi="Arial" w:cs="Arial"/>
        </w:rPr>
      </w:pPr>
    </w:p>
    <w:p w14:paraId="7A20D9B9" w14:textId="3086FC75" w:rsidR="00E3031B" w:rsidRDefault="00E3031B" w:rsidP="00E3031B">
      <w:pPr>
        <w:spacing w:after="0" w:line="300" w:lineRule="atLeast"/>
        <w:ind w:left="709" w:hanging="709"/>
        <w:rPr>
          <w:rFonts w:ascii="Arial" w:hAnsi="Arial" w:cs="Arial"/>
        </w:rPr>
      </w:pPr>
      <w:r>
        <w:rPr>
          <w:rFonts w:ascii="Arial" w:hAnsi="Arial" w:cs="Arial"/>
        </w:rPr>
        <w:t>8.4</w:t>
      </w:r>
      <w:r>
        <w:rPr>
          <w:rFonts w:ascii="Arial" w:hAnsi="Arial" w:cs="Arial"/>
        </w:rPr>
        <w:tab/>
      </w:r>
      <w:r w:rsidR="00316A01" w:rsidRPr="00E810AA">
        <w:rPr>
          <w:rFonts w:ascii="Arial" w:hAnsi="Arial" w:cs="Arial"/>
        </w:rPr>
        <w:t>The level of risk involved by making an Article 4 Direction without the 12-month notice period is difficult to measure</w:t>
      </w:r>
      <w:r w:rsidR="00316A01" w:rsidRPr="008D5881">
        <w:rPr>
          <w:rFonts w:ascii="Arial" w:hAnsi="Arial" w:cs="Arial"/>
        </w:rPr>
        <w:t xml:space="preserve">, but given evidence of high </w:t>
      </w:r>
      <w:r w:rsidR="008D5881" w:rsidRPr="008D5881">
        <w:rPr>
          <w:rFonts w:ascii="Arial" w:hAnsi="Arial" w:cs="Arial"/>
        </w:rPr>
        <w:t>numbers of HMOs within the Borough a</w:t>
      </w:r>
      <w:r w:rsidR="00316A01" w:rsidRPr="008D5881">
        <w:rPr>
          <w:rFonts w:ascii="Arial" w:hAnsi="Arial" w:cs="Arial"/>
        </w:rPr>
        <w:t>nd</w:t>
      </w:r>
      <w:r w:rsidR="0084096A">
        <w:rPr>
          <w:rFonts w:ascii="Arial" w:hAnsi="Arial" w:cs="Arial"/>
        </w:rPr>
        <w:t>,</w:t>
      </w:r>
      <w:r w:rsidR="00316A01" w:rsidRPr="008D5881">
        <w:rPr>
          <w:rFonts w:ascii="Arial" w:hAnsi="Arial" w:cs="Arial"/>
        </w:rPr>
        <w:t xml:space="preserve"> as such, </w:t>
      </w:r>
      <w:r w:rsidR="008D5881" w:rsidRPr="008D5881">
        <w:rPr>
          <w:rFonts w:ascii="Arial" w:hAnsi="Arial" w:cs="Arial"/>
        </w:rPr>
        <w:t xml:space="preserve">the evidence set out as to why there is such a demand </w:t>
      </w:r>
      <w:r w:rsidR="00316A01" w:rsidRPr="008D5881">
        <w:rPr>
          <w:rFonts w:ascii="Arial" w:hAnsi="Arial" w:cs="Arial"/>
        </w:rPr>
        <w:t>for the conversion of properties to HMOs, there is potentially a high risk of compensation claim(s). The prospect of speculative applications submitted solely for the purpose of giving rise to comp</w:t>
      </w:r>
      <w:r w:rsidR="00C36E3A" w:rsidRPr="008D5881">
        <w:rPr>
          <w:rFonts w:ascii="Arial" w:hAnsi="Arial" w:cs="Arial"/>
        </w:rPr>
        <w:t>ensation liability cannot be discounted either.</w:t>
      </w:r>
      <w:r w:rsidR="00C36E3A" w:rsidRPr="00E810AA">
        <w:rPr>
          <w:rFonts w:ascii="Arial" w:hAnsi="Arial" w:cs="Arial"/>
        </w:rPr>
        <w:t xml:space="preserve"> </w:t>
      </w:r>
    </w:p>
    <w:p w14:paraId="352E5BFC" w14:textId="77777777" w:rsidR="008234ED" w:rsidRPr="0084096A" w:rsidRDefault="008234ED" w:rsidP="0084096A">
      <w:pPr>
        <w:spacing w:after="0" w:line="300" w:lineRule="atLeast"/>
        <w:rPr>
          <w:rFonts w:ascii="Arial" w:hAnsi="Arial" w:cs="Arial"/>
        </w:rPr>
      </w:pPr>
    </w:p>
    <w:p w14:paraId="4E8B9C6D" w14:textId="77777777" w:rsidR="006507A3" w:rsidRPr="008234ED" w:rsidRDefault="006507A3" w:rsidP="00E810AA">
      <w:pPr>
        <w:pStyle w:val="ListParagraph"/>
        <w:numPr>
          <w:ilvl w:val="0"/>
          <w:numId w:val="23"/>
        </w:numPr>
        <w:spacing w:after="0" w:line="300" w:lineRule="atLeast"/>
        <w:ind w:left="1276"/>
        <w:contextualSpacing w:val="0"/>
        <w:rPr>
          <w:rFonts w:ascii="Arial" w:hAnsi="Arial" w:cs="Arial"/>
          <w:b/>
        </w:rPr>
      </w:pPr>
      <w:r w:rsidRPr="008234ED">
        <w:rPr>
          <w:rFonts w:ascii="Arial" w:hAnsi="Arial" w:cs="Arial"/>
          <w:b/>
        </w:rPr>
        <w:t>Benefits and L</w:t>
      </w:r>
      <w:r w:rsidR="004E6224" w:rsidRPr="008234ED">
        <w:rPr>
          <w:rFonts w:ascii="Arial" w:hAnsi="Arial" w:cs="Arial"/>
          <w:b/>
        </w:rPr>
        <w:t xml:space="preserve">imitations </w:t>
      </w:r>
    </w:p>
    <w:p w14:paraId="5CFCDF2F" w14:textId="77777777" w:rsidR="008234ED" w:rsidRPr="00E810AA" w:rsidRDefault="008234ED" w:rsidP="008234ED">
      <w:pPr>
        <w:pStyle w:val="ListParagraph"/>
        <w:spacing w:after="0" w:line="300" w:lineRule="atLeast"/>
        <w:ind w:left="1276"/>
        <w:contextualSpacing w:val="0"/>
        <w:rPr>
          <w:rFonts w:ascii="Arial" w:hAnsi="Arial" w:cs="Arial"/>
        </w:rPr>
      </w:pPr>
    </w:p>
    <w:p w14:paraId="748B4846" w14:textId="77777777" w:rsidR="00E3031B" w:rsidRDefault="00E3031B" w:rsidP="00E3031B">
      <w:pPr>
        <w:spacing w:after="0" w:line="300" w:lineRule="atLeast"/>
        <w:ind w:left="709" w:hanging="709"/>
        <w:rPr>
          <w:rFonts w:ascii="Arial" w:hAnsi="Arial" w:cs="Arial"/>
        </w:rPr>
      </w:pPr>
      <w:r>
        <w:rPr>
          <w:rFonts w:ascii="Arial" w:hAnsi="Arial" w:cs="Arial"/>
        </w:rPr>
        <w:t>8.6</w:t>
      </w:r>
      <w:r>
        <w:rPr>
          <w:rFonts w:ascii="Arial" w:hAnsi="Arial" w:cs="Arial"/>
        </w:rPr>
        <w:tab/>
      </w:r>
      <w:r w:rsidR="006507A3" w:rsidRPr="00E3031B">
        <w:rPr>
          <w:rFonts w:ascii="Arial" w:hAnsi="Arial" w:cs="Arial"/>
        </w:rPr>
        <w:t>The effect of an Article 4 Direction is that planning permi</w:t>
      </w:r>
      <w:r w:rsidR="004E6224" w:rsidRPr="00E3031B">
        <w:rPr>
          <w:rFonts w:ascii="Arial" w:hAnsi="Arial" w:cs="Arial"/>
        </w:rPr>
        <w:t xml:space="preserve">ssion will be required for the conversion of a dwelling to new small HMOs in the Class C4 use. </w:t>
      </w:r>
      <w:r w:rsidR="00115434" w:rsidRPr="00E3031B">
        <w:rPr>
          <w:rFonts w:ascii="Arial" w:hAnsi="Arial" w:cs="Arial"/>
        </w:rPr>
        <w:t xml:space="preserve"> </w:t>
      </w:r>
      <w:r w:rsidR="004E6224" w:rsidRPr="00E3031B">
        <w:rPr>
          <w:rFonts w:ascii="Arial" w:hAnsi="Arial" w:cs="Arial"/>
        </w:rPr>
        <w:t>This does not mean that planning application</w:t>
      </w:r>
      <w:r w:rsidR="008D5881" w:rsidRPr="00E3031B">
        <w:rPr>
          <w:rFonts w:ascii="Arial" w:hAnsi="Arial" w:cs="Arial"/>
        </w:rPr>
        <w:t>s</w:t>
      </w:r>
      <w:r w:rsidR="004E6224" w:rsidRPr="00E3031B">
        <w:rPr>
          <w:rFonts w:ascii="Arial" w:hAnsi="Arial" w:cs="Arial"/>
        </w:rPr>
        <w:t xml:space="preserve"> will be refused, but </w:t>
      </w:r>
      <w:r w:rsidR="008D5881" w:rsidRPr="00E3031B">
        <w:rPr>
          <w:rFonts w:ascii="Arial" w:hAnsi="Arial" w:cs="Arial"/>
        </w:rPr>
        <w:t xml:space="preserve">they </w:t>
      </w:r>
      <w:r w:rsidR="004E6224" w:rsidRPr="00E3031B">
        <w:rPr>
          <w:rFonts w:ascii="Arial" w:hAnsi="Arial" w:cs="Arial"/>
        </w:rPr>
        <w:t>will be subject</w:t>
      </w:r>
      <w:r w:rsidR="00BA4568" w:rsidRPr="00E3031B">
        <w:rPr>
          <w:rFonts w:ascii="Arial" w:hAnsi="Arial" w:cs="Arial"/>
        </w:rPr>
        <w:t xml:space="preserve"> to </w:t>
      </w:r>
      <w:r w:rsidR="008D5881" w:rsidRPr="00E3031B">
        <w:rPr>
          <w:rFonts w:ascii="Arial" w:hAnsi="Arial" w:cs="Arial"/>
        </w:rPr>
        <w:t xml:space="preserve">an </w:t>
      </w:r>
      <w:r w:rsidR="00BA4568" w:rsidRPr="00E3031B">
        <w:rPr>
          <w:rFonts w:ascii="Arial" w:hAnsi="Arial" w:cs="Arial"/>
        </w:rPr>
        <w:t xml:space="preserve">assessment of </w:t>
      </w:r>
      <w:r w:rsidR="000E1193" w:rsidRPr="00E3031B">
        <w:rPr>
          <w:rFonts w:ascii="Arial" w:hAnsi="Arial" w:cs="Arial"/>
        </w:rPr>
        <w:t>their</w:t>
      </w:r>
      <w:r w:rsidR="00BA4568" w:rsidRPr="00E3031B">
        <w:rPr>
          <w:rFonts w:ascii="Arial" w:hAnsi="Arial" w:cs="Arial"/>
        </w:rPr>
        <w:t xml:space="preserve"> planning merits in accordance with relevant </w:t>
      </w:r>
      <w:r w:rsidR="008D5881" w:rsidRPr="00E3031B">
        <w:rPr>
          <w:rFonts w:ascii="Arial" w:hAnsi="Arial" w:cs="Arial"/>
        </w:rPr>
        <w:t>D</w:t>
      </w:r>
      <w:r w:rsidR="00BA4568" w:rsidRPr="00E3031B">
        <w:rPr>
          <w:rFonts w:ascii="Arial" w:hAnsi="Arial" w:cs="Arial"/>
        </w:rPr>
        <w:t xml:space="preserve">evelopment </w:t>
      </w:r>
      <w:r w:rsidR="008D5881" w:rsidRPr="00E3031B">
        <w:rPr>
          <w:rFonts w:ascii="Arial" w:hAnsi="Arial" w:cs="Arial"/>
        </w:rPr>
        <w:t>P</w:t>
      </w:r>
      <w:r w:rsidR="00BA4568" w:rsidRPr="00E3031B">
        <w:rPr>
          <w:rFonts w:ascii="Arial" w:hAnsi="Arial" w:cs="Arial"/>
        </w:rPr>
        <w:t xml:space="preserve">lan policies with regard to HMOs. </w:t>
      </w:r>
    </w:p>
    <w:p w14:paraId="7E03DAE8" w14:textId="77777777" w:rsidR="00E3031B" w:rsidRDefault="00E3031B" w:rsidP="00E3031B">
      <w:pPr>
        <w:spacing w:after="0" w:line="300" w:lineRule="atLeast"/>
        <w:ind w:left="709" w:hanging="709"/>
        <w:rPr>
          <w:rFonts w:ascii="Arial" w:hAnsi="Arial" w:cs="Arial"/>
        </w:rPr>
      </w:pPr>
    </w:p>
    <w:p w14:paraId="15D23999" w14:textId="13B8FE49" w:rsidR="00E3031B" w:rsidRDefault="00E3031B" w:rsidP="00E3031B">
      <w:pPr>
        <w:spacing w:after="0" w:line="300" w:lineRule="atLeast"/>
        <w:ind w:left="709" w:hanging="709"/>
        <w:rPr>
          <w:rFonts w:ascii="Arial" w:hAnsi="Arial" w:cs="Arial"/>
        </w:rPr>
      </w:pPr>
      <w:r>
        <w:rPr>
          <w:rFonts w:ascii="Arial" w:hAnsi="Arial" w:cs="Arial"/>
        </w:rPr>
        <w:t>8.7</w:t>
      </w:r>
      <w:r>
        <w:rPr>
          <w:rFonts w:ascii="Arial" w:hAnsi="Arial" w:cs="Arial"/>
        </w:rPr>
        <w:tab/>
      </w:r>
      <w:r w:rsidR="00BA4568" w:rsidRPr="008D5881">
        <w:rPr>
          <w:rFonts w:ascii="Arial" w:hAnsi="Arial" w:cs="Arial"/>
        </w:rPr>
        <w:t>An Article 4 Direction cannot be applied retrospectively on the existing HMOs and permitted development rights can be used up until the point at which the Direction comes into force.</w:t>
      </w:r>
      <w:r w:rsidR="00115434" w:rsidRPr="008D5881">
        <w:rPr>
          <w:rFonts w:ascii="Arial" w:hAnsi="Arial" w:cs="Arial"/>
        </w:rPr>
        <w:t xml:space="preserve"> </w:t>
      </w:r>
    </w:p>
    <w:p w14:paraId="62786361" w14:textId="77777777" w:rsidR="0084096A" w:rsidRDefault="0084096A" w:rsidP="00E3031B">
      <w:pPr>
        <w:spacing w:after="0" w:line="300" w:lineRule="atLeast"/>
        <w:ind w:left="709" w:hanging="709"/>
        <w:rPr>
          <w:rFonts w:ascii="Arial" w:hAnsi="Arial" w:cs="Arial"/>
        </w:rPr>
      </w:pPr>
    </w:p>
    <w:p w14:paraId="3F350E47" w14:textId="07409D9B" w:rsidR="0084096A" w:rsidRDefault="00E3031B" w:rsidP="00E3031B">
      <w:pPr>
        <w:spacing w:after="0" w:line="300" w:lineRule="atLeast"/>
        <w:ind w:left="709" w:hanging="709"/>
        <w:rPr>
          <w:rFonts w:ascii="Arial" w:hAnsi="Arial" w:cs="Arial"/>
        </w:rPr>
      </w:pPr>
      <w:r>
        <w:rPr>
          <w:rFonts w:ascii="Arial" w:hAnsi="Arial" w:cs="Arial"/>
        </w:rPr>
        <w:t>8.8</w:t>
      </w:r>
      <w:r>
        <w:rPr>
          <w:rFonts w:ascii="Arial" w:hAnsi="Arial" w:cs="Arial"/>
        </w:rPr>
        <w:tab/>
      </w:r>
      <w:r w:rsidR="00BA4568" w:rsidRPr="008D5881">
        <w:rPr>
          <w:rFonts w:ascii="Arial" w:hAnsi="Arial" w:cs="Arial"/>
        </w:rPr>
        <w:t xml:space="preserve">There is a risk that </w:t>
      </w:r>
      <w:r w:rsidR="0084096A">
        <w:rPr>
          <w:rFonts w:ascii="Arial" w:hAnsi="Arial" w:cs="Arial"/>
        </w:rPr>
        <w:t xml:space="preserve">a </w:t>
      </w:r>
      <w:r w:rsidR="00BA4568" w:rsidRPr="008D5881">
        <w:rPr>
          <w:rFonts w:ascii="Arial" w:hAnsi="Arial" w:cs="Arial"/>
        </w:rPr>
        <w:t xml:space="preserve">non-immediate Article 4 Direction may </w:t>
      </w:r>
      <w:r w:rsidR="008A3E6E" w:rsidRPr="008D5881">
        <w:rPr>
          <w:rFonts w:ascii="Arial" w:hAnsi="Arial" w:cs="Arial"/>
        </w:rPr>
        <w:t>result in additional HMOs being created within the 12</w:t>
      </w:r>
      <w:r w:rsidR="0084096A">
        <w:rPr>
          <w:rFonts w:ascii="Arial" w:hAnsi="Arial" w:cs="Arial"/>
        </w:rPr>
        <w:t>-</w:t>
      </w:r>
      <w:r w:rsidR="008A3E6E" w:rsidRPr="008D5881">
        <w:rPr>
          <w:rFonts w:ascii="Arial" w:hAnsi="Arial" w:cs="Arial"/>
        </w:rPr>
        <w:t xml:space="preserve">month notice period in order to avoid the need for planning permission. </w:t>
      </w:r>
    </w:p>
    <w:p w14:paraId="2E6FF18F" w14:textId="77777777" w:rsidR="0084096A" w:rsidRDefault="0084096A" w:rsidP="00E3031B">
      <w:pPr>
        <w:spacing w:after="0" w:line="300" w:lineRule="atLeast"/>
        <w:ind w:left="709" w:hanging="709"/>
        <w:rPr>
          <w:rFonts w:ascii="Arial" w:hAnsi="Arial" w:cs="Arial"/>
        </w:rPr>
      </w:pPr>
    </w:p>
    <w:p w14:paraId="4CFBB6DA" w14:textId="57C5745B" w:rsidR="00BA4568" w:rsidRPr="008D5881" w:rsidRDefault="0084096A" w:rsidP="00E3031B">
      <w:pPr>
        <w:spacing w:after="0" w:line="300" w:lineRule="atLeast"/>
        <w:ind w:left="709" w:hanging="709"/>
        <w:rPr>
          <w:rFonts w:ascii="Arial" w:hAnsi="Arial" w:cs="Arial"/>
        </w:rPr>
      </w:pPr>
      <w:r>
        <w:rPr>
          <w:rFonts w:ascii="Arial" w:hAnsi="Arial" w:cs="Arial"/>
        </w:rPr>
        <w:t>8.9</w:t>
      </w:r>
      <w:r>
        <w:rPr>
          <w:rFonts w:ascii="Arial" w:hAnsi="Arial" w:cs="Arial"/>
        </w:rPr>
        <w:tab/>
      </w:r>
      <w:r w:rsidR="008A3E6E" w:rsidRPr="008D5881">
        <w:rPr>
          <w:rFonts w:ascii="Arial" w:hAnsi="Arial" w:cs="Arial"/>
        </w:rPr>
        <w:t>The Article 4 Direct</w:t>
      </w:r>
      <w:r w:rsidR="00115434" w:rsidRPr="008D5881">
        <w:rPr>
          <w:rFonts w:ascii="Arial" w:hAnsi="Arial" w:cs="Arial"/>
        </w:rPr>
        <w:t>ion</w:t>
      </w:r>
      <w:r w:rsidR="008A3E6E" w:rsidRPr="008D5881">
        <w:rPr>
          <w:rFonts w:ascii="Arial" w:hAnsi="Arial" w:cs="Arial"/>
        </w:rPr>
        <w:t xml:space="preserve"> will allow for greater planning control in determining the appropriateness of new small HMO development on a case-by</w:t>
      </w:r>
      <w:r w:rsidR="00D32993" w:rsidRPr="008D5881">
        <w:rPr>
          <w:rFonts w:ascii="Arial" w:hAnsi="Arial" w:cs="Arial"/>
        </w:rPr>
        <w:t xml:space="preserve">-case basis. </w:t>
      </w:r>
      <w:r w:rsidR="00115434" w:rsidRPr="008D5881">
        <w:rPr>
          <w:rFonts w:ascii="Arial" w:hAnsi="Arial" w:cs="Arial"/>
        </w:rPr>
        <w:t xml:space="preserve"> </w:t>
      </w:r>
      <w:r w:rsidR="00D32993" w:rsidRPr="008D5881">
        <w:rPr>
          <w:rFonts w:ascii="Arial" w:hAnsi="Arial" w:cs="Arial"/>
        </w:rPr>
        <w:t xml:space="preserve">An Article </w:t>
      </w:r>
      <w:r w:rsidR="00D32993" w:rsidRPr="008D5881">
        <w:rPr>
          <w:rFonts w:ascii="Arial" w:hAnsi="Arial" w:cs="Arial"/>
        </w:rPr>
        <w:lastRenderedPageBreak/>
        <w:t>4 Direc</w:t>
      </w:r>
      <w:r w:rsidR="00115434" w:rsidRPr="008D5881">
        <w:rPr>
          <w:rFonts w:ascii="Arial" w:hAnsi="Arial" w:cs="Arial"/>
        </w:rPr>
        <w:t>tion cannot solve all problems, h</w:t>
      </w:r>
      <w:r w:rsidR="00D32993" w:rsidRPr="008D5881">
        <w:rPr>
          <w:rFonts w:ascii="Arial" w:hAnsi="Arial" w:cs="Arial"/>
        </w:rPr>
        <w:t>owever, it can pla</w:t>
      </w:r>
      <w:r w:rsidR="008D5881" w:rsidRPr="008D5881">
        <w:rPr>
          <w:rFonts w:ascii="Arial" w:hAnsi="Arial" w:cs="Arial"/>
        </w:rPr>
        <w:t>y</w:t>
      </w:r>
      <w:r w:rsidR="00D32993" w:rsidRPr="008D5881">
        <w:rPr>
          <w:rFonts w:ascii="Arial" w:hAnsi="Arial" w:cs="Arial"/>
        </w:rPr>
        <w:t xml:space="preserve"> a part in improving HMOs, </w:t>
      </w:r>
      <w:r w:rsidR="00115434" w:rsidRPr="008D5881">
        <w:rPr>
          <w:rFonts w:ascii="Arial" w:hAnsi="Arial" w:cs="Arial"/>
        </w:rPr>
        <w:t>raising housing standards in the Borough, and help prevent further</w:t>
      </w:r>
      <w:r w:rsidR="00D32993" w:rsidRPr="008D5881">
        <w:rPr>
          <w:rFonts w:ascii="Arial" w:hAnsi="Arial" w:cs="Arial"/>
        </w:rPr>
        <w:t xml:space="preserve"> social and envir</w:t>
      </w:r>
      <w:r w:rsidR="00115434" w:rsidRPr="008D5881">
        <w:rPr>
          <w:rFonts w:ascii="Arial" w:hAnsi="Arial" w:cs="Arial"/>
        </w:rPr>
        <w:t>onmental problems in the affected wards</w:t>
      </w:r>
      <w:r w:rsidR="00D32993" w:rsidRPr="008D5881">
        <w:rPr>
          <w:rFonts w:ascii="Arial" w:hAnsi="Arial" w:cs="Arial"/>
        </w:rPr>
        <w:t>, as well as address the concerns about balanced communities.</w:t>
      </w:r>
      <w:r w:rsidR="00115434" w:rsidRPr="008D5881">
        <w:rPr>
          <w:rFonts w:ascii="Arial" w:hAnsi="Arial" w:cs="Arial"/>
        </w:rPr>
        <w:t xml:space="preserve">  </w:t>
      </w:r>
    </w:p>
    <w:p w14:paraId="6FA297DE" w14:textId="77777777" w:rsidR="00BA4568" w:rsidRPr="00E810AA" w:rsidRDefault="00BA4568" w:rsidP="00E810AA">
      <w:pPr>
        <w:pStyle w:val="ListParagraph"/>
        <w:spacing w:after="0" w:line="300" w:lineRule="atLeast"/>
        <w:ind w:left="709"/>
        <w:contextualSpacing w:val="0"/>
        <w:rPr>
          <w:rFonts w:ascii="Arial" w:hAnsi="Arial" w:cs="Arial"/>
        </w:rPr>
      </w:pPr>
    </w:p>
    <w:p w14:paraId="4BA91536" w14:textId="77777777" w:rsidR="00A659E6" w:rsidRPr="00E810AA" w:rsidRDefault="00A659E6" w:rsidP="00E810AA">
      <w:pPr>
        <w:pStyle w:val="ListParagraph"/>
        <w:spacing w:after="0" w:line="300" w:lineRule="atLeast"/>
        <w:ind w:left="709"/>
        <w:contextualSpacing w:val="0"/>
        <w:rPr>
          <w:rFonts w:ascii="Arial" w:hAnsi="Arial" w:cs="Arial"/>
        </w:rPr>
      </w:pPr>
    </w:p>
    <w:p w14:paraId="7E69A863" w14:textId="77777777" w:rsidR="0084096A" w:rsidRDefault="0084096A" w:rsidP="0084096A">
      <w:pPr>
        <w:spacing w:after="0" w:line="300" w:lineRule="atLeast"/>
        <w:rPr>
          <w:rFonts w:ascii="Arial" w:hAnsi="Arial" w:cs="Arial"/>
        </w:rPr>
      </w:pPr>
    </w:p>
    <w:p w14:paraId="3063E432" w14:textId="77777777" w:rsidR="0084096A" w:rsidRDefault="0084096A" w:rsidP="0084096A">
      <w:pPr>
        <w:spacing w:after="0" w:line="300" w:lineRule="atLeast"/>
        <w:rPr>
          <w:rFonts w:ascii="Arial" w:hAnsi="Arial" w:cs="Arial"/>
        </w:rPr>
      </w:pPr>
    </w:p>
    <w:p w14:paraId="34969AC5" w14:textId="77777777" w:rsidR="00085A56" w:rsidRDefault="00085A56" w:rsidP="00E810AA">
      <w:pPr>
        <w:pStyle w:val="ListParagraph"/>
        <w:spacing w:after="0" w:line="300" w:lineRule="atLeast"/>
        <w:ind w:left="709"/>
        <w:rPr>
          <w:rFonts w:ascii="Arial" w:hAnsi="Arial" w:cs="Arial"/>
        </w:rPr>
      </w:pPr>
    </w:p>
    <w:p w14:paraId="33B7F3C5" w14:textId="77777777" w:rsidR="0084096A" w:rsidRDefault="0084096A" w:rsidP="00E810AA">
      <w:pPr>
        <w:pStyle w:val="ListParagraph"/>
        <w:spacing w:after="0" w:line="300" w:lineRule="atLeast"/>
        <w:ind w:left="709"/>
        <w:rPr>
          <w:rFonts w:ascii="Arial" w:hAnsi="Arial" w:cs="Arial"/>
        </w:rPr>
      </w:pPr>
    </w:p>
    <w:p w14:paraId="787E6BD3" w14:textId="77777777" w:rsidR="0084096A" w:rsidRDefault="0084096A" w:rsidP="00E810AA">
      <w:pPr>
        <w:pStyle w:val="ListParagraph"/>
        <w:spacing w:after="0" w:line="300" w:lineRule="atLeast"/>
        <w:ind w:left="709"/>
        <w:rPr>
          <w:rFonts w:ascii="Arial" w:hAnsi="Arial" w:cs="Arial"/>
        </w:rPr>
      </w:pPr>
    </w:p>
    <w:p w14:paraId="5CA2888D" w14:textId="77777777" w:rsidR="0084096A" w:rsidRDefault="0084096A" w:rsidP="00E810AA">
      <w:pPr>
        <w:pStyle w:val="ListParagraph"/>
        <w:spacing w:after="0" w:line="300" w:lineRule="atLeast"/>
        <w:ind w:left="709"/>
        <w:rPr>
          <w:rFonts w:ascii="Arial" w:hAnsi="Arial" w:cs="Arial"/>
        </w:rPr>
      </w:pPr>
    </w:p>
    <w:p w14:paraId="36A22C79" w14:textId="77777777" w:rsidR="0084096A" w:rsidRDefault="0084096A" w:rsidP="00E810AA">
      <w:pPr>
        <w:pStyle w:val="ListParagraph"/>
        <w:spacing w:after="0" w:line="300" w:lineRule="atLeast"/>
        <w:ind w:left="709"/>
        <w:rPr>
          <w:rFonts w:ascii="Arial" w:hAnsi="Arial" w:cs="Arial"/>
        </w:rPr>
      </w:pPr>
    </w:p>
    <w:p w14:paraId="00FB103F" w14:textId="77777777" w:rsidR="0084096A" w:rsidRDefault="0084096A" w:rsidP="00E810AA">
      <w:pPr>
        <w:pStyle w:val="ListParagraph"/>
        <w:spacing w:after="0" w:line="300" w:lineRule="atLeast"/>
        <w:ind w:left="709"/>
        <w:rPr>
          <w:rFonts w:ascii="Arial" w:hAnsi="Arial" w:cs="Arial"/>
        </w:rPr>
      </w:pPr>
    </w:p>
    <w:p w14:paraId="487F2736" w14:textId="77777777" w:rsidR="0084096A" w:rsidRDefault="0084096A" w:rsidP="00E810AA">
      <w:pPr>
        <w:pStyle w:val="ListParagraph"/>
        <w:spacing w:after="0" w:line="300" w:lineRule="atLeast"/>
        <w:ind w:left="709"/>
        <w:rPr>
          <w:rFonts w:ascii="Arial" w:hAnsi="Arial" w:cs="Arial"/>
        </w:rPr>
      </w:pPr>
    </w:p>
    <w:p w14:paraId="73FDB0B4" w14:textId="77777777" w:rsidR="0084096A" w:rsidRDefault="0084096A" w:rsidP="00E810AA">
      <w:pPr>
        <w:pStyle w:val="ListParagraph"/>
        <w:spacing w:after="0" w:line="300" w:lineRule="atLeast"/>
        <w:ind w:left="709"/>
        <w:rPr>
          <w:rFonts w:ascii="Arial" w:hAnsi="Arial" w:cs="Arial"/>
        </w:rPr>
      </w:pPr>
    </w:p>
    <w:p w14:paraId="15A4339F" w14:textId="77777777" w:rsidR="0084096A" w:rsidRDefault="0084096A" w:rsidP="00E810AA">
      <w:pPr>
        <w:pStyle w:val="ListParagraph"/>
        <w:spacing w:after="0" w:line="300" w:lineRule="atLeast"/>
        <w:ind w:left="709"/>
        <w:rPr>
          <w:rFonts w:ascii="Arial" w:hAnsi="Arial" w:cs="Arial"/>
        </w:rPr>
      </w:pPr>
    </w:p>
    <w:p w14:paraId="2B4805AF" w14:textId="77777777" w:rsidR="0084096A" w:rsidRDefault="0084096A" w:rsidP="00E810AA">
      <w:pPr>
        <w:pStyle w:val="ListParagraph"/>
        <w:spacing w:after="0" w:line="300" w:lineRule="atLeast"/>
        <w:ind w:left="709"/>
        <w:rPr>
          <w:rFonts w:ascii="Arial" w:hAnsi="Arial" w:cs="Arial"/>
        </w:rPr>
      </w:pPr>
    </w:p>
    <w:p w14:paraId="2355969C" w14:textId="77777777" w:rsidR="0084096A" w:rsidRDefault="0084096A" w:rsidP="00E810AA">
      <w:pPr>
        <w:pStyle w:val="ListParagraph"/>
        <w:spacing w:after="0" w:line="300" w:lineRule="atLeast"/>
        <w:ind w:left="709"/>
        <w:rPr>
          <w:rFonts w:ascii="Arial" w:hAnsi="Arial" w:cs="Arial"/>
        </w:rPr>
      </w:pPr>
    </w:p>
    <w:p w14:paraId="2D4408E1" w14:textId="77777777" w:rsidR="0084096A" w:rsidRDefault="0084096A" w:rsidP="00E810AA">
      <w:pPr>
        <w:pStyle w:val="ListParagraph"/>
        <w:spacing w:after="0" w:line="300" w:lineRule="atLeast"/>
        <w:ind w:left="709"/>
        <w:rPr>
          <w:rFonts w:ascii="Arial" w:hAnsi="Arial" w:cs="Arial"/>
        </w:rPr>
      </w:pPr>
    </w:p>
    <w:p w14:paraId="1E876FBA" w14:textId="77777777" w:rsidR="0084096A" w:rsidRDefault="0084096A" w:rsidP="00E810AA">
      <w:pPr>
        <w:pStyle w:val="ListParagraph"/>
        <w:spacing w:after="0" w:line="300" w:lineRule="atLeast"/>
        <w:ind w:left="709"/>
        <w:rPr>
          <w:rFonts w:ascii="Arial" w:hAnsi="Arial" w:cs="Arial"/>
        </w:rPr>
      </w:pPr>
    </w:p>
    <w:p w14:paraId="48AA20B5" w14:textId="77777777" w:rsidR="0084096A" w:rsidRDefault="0084096A" w:rsidP="00E810AA">
      <w:pPr>
        <w:pStyle w:val="ListParagraph"/>
        <w:spacing w:after="0" w:line="300" w:lineRule="atLeast"/>
        <w:ind w:left="709"/>
        <w:rPr>
          <w:rFonts w:ascii="Arial" w:hAnsi="Arial" w:cs="Arial"/>
        </w:rPr>
      </w:pPr>
    </w:p>
    <w:p w14:paraId="6ED50DC2" w14:textId="77777777" w:rsidR="0084096A" w:rsidRDefault="0084096A" w:rsidP="00E810AA">
      <w:pPr>
        <w:pStyle w:val="ListParagraph"/>
        <w:spacing w:after="0" w:line="300" w:lineRule="atLeast"/>
        <w:ind w:left="709"/>
        <w:rPr>
          <w:rFonts w:ascii="Arial" w:hAnsi="Arial" w:cs="Arial"/>
        </w:rPr>
      </w:pPr>
    </w:p>
    <w:p w14:paraId="3A4C4BEC" w14:textId="77777777" w:rsidR="0084096A" w:rsidRDefault="0084096A" w:rsidP="00E810AA">
      <w:pPr>
        <w:pStyle w:val="ListParagraph"/>
        <w:spacing w:after="0" w:line="300" w:lineRule="atLeast"/>
        <w:ind w:left="709"/>
        <w:rPr>
          <w:rFonts w:ascii="Arial" w:hAnsi="Arial" w:cs="Arial"/>
        </w:rPr>
      </w:pPr>
    </w:p>
    <w:p w14:paraId="318CBD48" w14:textId="77777777" w:rsidR="0084096A" w:rsidRDefault="0084096A" w:rsidP="00E810AA">
      <w:pPr>
        <w:pStyle w:val="ListParagraph"/>
        <w:spacing w:after="0" w:line="300" w:lineRule="atLeast"/>
        <w:ind w:left="709"/>
        <w:rPr>
          <w:rFonts w:ascii="Arial" w:hAnsi="Arial" w:cs="Arial"/>
        </w:rPr>
      </w:pPr>
    </w:p>
    <w:p w14:paraId="47D95ABD" w14:textId="77777777" w:rsidR="0084096A" w:rsidRDefault="0084096A" w:rsidP="00E810AA">
      <w:pPr>
        <w:pStyle w:val="ListParagraph"/>
        <w:spacing w:after="0" w:line="300" w:lineRule="atLeast"/>
        <w:ind w:left="709"/>
        <w:rPr>
          <w:rFonts w:ascii="Arial" w:hAnsi="Arial" w:cs="Arial"/>
        </w:rPr>
      </w:pPr>
    </w:p>
    <w:p w14:paraId="1CF02396" w14:textId="77777777" w:rsidR="0084096A" w:rsidRDefault="0084096A" w:rsidP="00E810AA">
      <w:pPr>
        <w:pStyle w:val="ListParagraph"/>
        <w:spacing w:after="0" w:line="300" w:lineRule="atLeast"/>
        <w:ind w:left="709"/>
        <w:rPr>
          <w:rFonts w:ascii="Arial" w:hAnsi="Arial" w:cs="Arial"/>
        </w:rPr>
      </w:pPr>
    </w:p>
    <w:p w14:paraId="53E397E5" w14:textId="77777777" w:rsidR="0084096A" w:rsidRDefault="0084096A" w:rsidP="00E810AA">
      <w:pPr>
        <w:pStyle w:val="ListParagraph"/>
        <w:spacing w:after="0" w:line="300" w:lineRule="atLeast"/>
        <w:ind w:left="709"/>
        <w:rPr>
          <w:rFonts w:ascii="Arial" w:hAnsi="Arial" w:cs="Arial"/>
        </w:rPr>
      </w:pPr>
    </w:p>
    <w:p w14:paraId="0C17CC0B" w14:textId="77777777" w:rsidR="0084096A" w:rsidRDefault="0084096A" w:rsidP="00E810AA">
      <w:pPr>
        <w:pStyle w:val="ListParagraph"/>
        <w:spacing w:after="0" w:line="300" w:lineRule="atLeast"/>
        <w:ind w:left="709"/>
        <w:rPr>
          <w:rFonts w:ascii="Arial" w:hAnsi="Arial" w:cs="Arial"/>
        </w:rPr>
      </w:pPr>
    </w:p>
    <w:p w14:paraId="54B3F62E" w14:textId="77777777" w:rsidR="0084096A" w:rsidRDefault="0084096A" w:rsidP="00E810AA">
      <w:pPr>
        <w:pStyle w:val="ListParagraph"/>
        <w:spacing w:after="0" w:line="300" w:lineRule="atLeast"/>
        <w:ind w:left="709"/>
        <w:rPr>
          <w:rFonts w:ascii="Arial" w:hAnsi="Arial" w:cs="Arial"/>
        </w:rPr>
      </w:pPr>
    </w:p>
    <w:p w14:paraId="49044C88" w14:textId="77777777" w:rsidR="0084096A" w:rsidRDefault="0084096A" w:rsidP="00E810AA">
      <w:pPr>
        <w:pStyle w:val="ListParagraph"/>
        <w:spacing w:after="0" w:line="300" w:lineRule="atLeast"/>
        <w:ind w:left="709"/>
        <w:rPr>
          <w:rFonts w:ascii="Arial" w:hAnsi="Arial" w:cs="Arial"/>
        </w:rPr>
      </w:pPr>
    </w:p>
    <w:p w14:paraId="17DF6F26" w14:textId="77777777" w:rsidR="0084096A" w:rsidRDefault="0084096A" w:rsidP="00E810AA">
      <w:pPr>
        <w:pStyle w:val="ListParagraph"/>
        <w:spacing w:after="0" w:line="300" w:lineRule="atLeast"/>
        <w:ind w:left="709"/>
        <w:rPr>
          <w:rFonts w:ascii="Arial" w:hAnsi="Arial" w:cs="Arial"/>
        </w:rPr>
      </w:pPr>
    </w:p>
    <w:p w14:paraId="33950C41" w14:textId="77777777" w:rsidR="0084096A" w:rsidRDefault="0084096A" w:rsidP="00E810AA">
      <w:pPr>
        <w:pStyle w:val="ListParagraph"/>
        <w:spacing w:after="0" w:line="300" w:lineRule="atLeast"/>
        <w:ind w:left="709"/>
        <w:rPr>
          <w:rFonts w:ascii="Arial" w:hAnsi="Arial" w:cs="Arial"/>
        </w:rPr>
      </w:pPr>
    </w:p>
    <w:p w14:paraId="4B4BF30D" w14:textId="77777777" w:rsidR="0084096A" w:rsidRDefault="0084096A" w:rsidP="00E810AA">
      <w:pPr>
        <w:pStyle w:val="ListParagraph"/>
        <w:spacing w:after="0" w:line="300" w:lineRule="atLeast"/>
        <w:ind w:left="709"/>
        <w:rPr>
          <w:rFonts w:ascii="Arial" w:hAnsi="Arial" w:cs="Arial"/>
        </w:rPr>
      </w:pPr>
    </w:p>
    <w:p w14:paraId="22F828C6" w14:textId="77777777" w:rsidR="0084096A" w:rsidRDefault="0084096A" w:rsidP="00E810AA">
      <w:pPr>
        <w:pStyle w:val="ListParagraph"/>
        <w:spacing w:after="0" w:line="300" w:lineRule="atLeast"/>
        <w:ind w:left="709"/>
        <w:rPr>
          <w:rFonts w:ascii="Arial" w:hAnsi="Arial" w:cs="Arial"/>
        </w:rPr>
      </w:pPr>
    </w:p>
    <w:p w14:paraId="4B35D630" w14:textId="77777777" w:rsidR="0084096A" w:rsidRDefault="0084096A" w:rsidP="00E810AA">
      <w:pPr>
        <w:pStyle w:val="ListParagraph"/>
        <w:spacing w:after="0" w:line="300" w:lineRule="atLeast"/>
        <w:ind w:left="709"/>
        <w:rPr>
          <w:rFonts w:ascii="Arial" w:hAnsi="Arial" w:cs="Arial"/>
        </w:rPr>
      </w:pPr>
    </w:p>
    <w:p w14:paraId="60DCFF1E" w14:textId="77777777" w:rsidR="0084096A" w:rsidRDefault="0084096A" w:rsidP="00E810AA">
      <w:pPr>
        <w:pStyle w:val="ListParagraph"/>
        <w:spacing w:after="0" w:line="300" w:lineRule="atLeast"/>
        <w:ind w:left="709"/>
        <w:rPr>
          <w:rFonts w:ascii="Arial" w:hAnsi="Arial" w:cs="Arial"/>
        </w:rPr>
      </w:pPr>
    </w:p>
    <w:p w14:paraId="7F3E1A6D" w14:textId="77777777" w:rsidR="0084096A" w:rsidRDefault="0084096A" w:rsidP="00E810AA">
      <w:pPr>
        <w:pStyle w:val="ListParagraph"/>
        <w:spacing w:after="0" w:line="300" w:lineRule="atLeast"/>
        <w:ind w:left="709"/>
        <w:rPr>
          <w:rFonts w:ascii="Arial" w:hAnsi="Arial" w:cs="Arial"/>
        </w:rPr>
      </w:pPr>
    </w:p>
    <w:p w14:paraId="74CDA795" w14:textId="77777777" w:rsidR="0084096A" w:rsidRDefault="0084096A" w:rsidP="00E810AA">
      <w:pPr>
        <w:pStyle w:val="ListParagraph"/>
        <w:spacing w:after="0" w:line="300" w:lineRule="atLeast"/>
        <w:ind w:left="709"/>
        <w:rPr>
          <w:rFonts w:ascii="Arial" w:hAnsi="Arial" w:cs="Arial"/>
        </w:rPr>
      </w:pPr>
    </w:p>
    <w:p w14:paraId="54DA37B3" w14:textId="77777777" w:rsidR="0084096A" w:rsidRDefault="0084096A" w:rsidP="00E810AA">
      <w:pPr>
        <w:pStyle w:val="ListParagraph"/>
        <w:spacing w:after="0" w:line="300" w:lineRule="atLeast"/>
        <w:ind w:left="709"/>
        <w:rPr>
          <w:rFonts w:ascii="Arial" w:hAnsi="Arial" w:cs="Arial"/>
        </w:rPr>
      </w:pPr>
    </w:p>
    <w:p w14:paraId="22F53472" w14:textId="77777777" w:rsidR="0084096A" w:rsidRDefault="0084096A" w:rsidP="00E810AA">
      <w:pPr>
        <w:pStyle w:val="ListParagraph"/>
        <w:spacing w:after="0" w:line="300" w:lineRule="atLeast"/>
        <w:ind w:left="709"/>
        <w:rPr>
          <w:rFonts w:ascii="Arial" w:hAnsi="Arial" w:cs="Arial"/>
        </w:rPr>
      </w:pPr>
    </w:p>
    <w:p w14:paraId="2AB3A94C" w14:textId="77777777" w:rsidR="0084096A" w:rsidRDefault="0084096A" w:rsidP="00E810AA">
      <w:pPr>
        <w:pStyle w:val="ListParagraph"/>
        <w:spacing w:after="0" w:line="300" w:lineRule="atLeast"/>
        <w:ind w:left="709"/>
        <w:rPr>
          <w:rFonts w:ascii="Arial" w:hAnsi="Arial" w:cs="Arial"/>
        </w:rPr>
      </w:pPr>
    </w:p>
    <w:p w14:paraId="4C8A1610" w14:textId="77777777" w:rsidR="0084096A" w:rsidRDefault="0084096A" w:rsidP="00E810AA">
      <w:pPr>
        <w:pStyle w:val="ListParagraph"/>
        <w:spacing w:after="0" w:line="300" w:lineRule="atLeast"/>
        <w:ind w:left="709"/>
        <w:rPr>
          <w:rFonts w:ascii="Arial" w:hAnsi="Arial" w:cs="Arial"/>
        </w:rPr>
      </w:pPr>
    </w:p>
    <w:p w14:paraId="286DD8EF" w14:textId="77777777" w:rsidR="0084096A" w:rsidRDefault="0084096A" w:rsidP="00E810AA">
      <w:pPr>
        <w:pStyle w:val="ListParagraph"/>
        <w:spacing w:after="0" w:line="300" w:lineRule="atLeast"/>
        <w:ind w:left="709"/>
        <w:rPr>
          <w:rFonts w:ascii="Arial" w:hAnsi="Arial" w:cs="Arial"/>
        </w:rPr>
      </w:pPr>
    </w:p>
    <w:p w14:paraId="33CF450B" w14:textId="77777777" w:rsidR="0084096A" w:rsidRDefault="0084096A" w:rsidP="00E810AA">
      <w:pPr>
        <w:pStyle w:val="ListParagraph"/>
        <w:spacing w:after="0" w:line="300" w:lineRule="atLeast"/>
        <w:ind w:left="709"/>
        <w:rPr>
          <w:rFonts w:ascii="Arial" w:hAnsi="Arial" w:cs="Arial"/>
        </w:rPr>
      </w:pPr>
    </w:p>
    <w:p w14:paraId="430DA987" w14:textId="77777777" w:rsidR="0084096A" w:rsidRDefault="0084096A" w:rsidP="00E810AA">
      <w:pPr>
        <w:pStyle w:val="ListParagraph"/>
        <w:spacing w:after="0" w:line="300" w:lineRule="atLeast"/>
        <w:ind w:left="709"/>
        <w:rPr>
          <w:rFonts w:ascii="Arial" w:hAnsi="Arial" w:cs="Arial"/>
        </w:rPr>
      </w:pPr>
    </w:p>
    <w:p w14:paraId="77FF1C9F" w14:textId="2D282C7B" w:rsidR="0084096A" w:rsidRPr="00696A47" w:rsidRDefault="00841801" w:rsidP="00841801">
      <w:pPr>
        <w:pStyle w:val="Heading1"/>
        <w:spacing w:before="0" w:line="300" w:lineRule="atLeast"/>
        <w:rPr>
          <w:rFonts w:ascii="Arial" w:hAnsi="Arial" w:cs="Arial"/>
          <w:b/>
          <w:sz w:val="24"/>
          <w:szCs w:val="24"/>
        </w:rPr>
      </w:pPr>
      <w:r>
        <w:rPr>
          <w:rFonts w:ascii="Arial" w:hAnsi="Arial" w:cs="Arial"/>
          <w:b/>
          <w:sz w:val="24"/>
          <w:szCs w:val="24"/>
        </w:rPr>
        <w:lastRenderedPageBreak/>
        <w:t xml:space="preserve">9. </w:t>
      </w:r>
      <w:r>
        <w:rPr>
          <w:rFonts w:ascii="Arial" w:hAnsi="Arial" w:cs="Arial"/>
          <w:b/>
          <w:sz w:val="24"/>
          <w:szCs w:val="24"/>
        </w:rPr>
        <w:tab/>
      </w:r>
      <w:bookmarkStart w:id="8" w:name="_Toc223633624"/>
      <w:r>
        <w:rPr>
          <w:rFonts w:ascii="Arial" w:hAnsi="Arial" w:cs="Arial"/>
          <w:b/>
          <w:sz w:val="24"/>
          <w:szCs w:val="24"/>
        </w:rPr>
        <w:t>Conclusions</w:t>
      </w:r>
      <w:bookmarkEnd w:id="8"/>
      <w:r w:rsidR="0084096A" w:rsidRPr="00696A47">
        <w:rPr>
          <w:rFonts w:ascii="Arial" w:hAnsi="Arial" w:cs="Arial"/>
          <w:b/>
          <w:sz w:val="24"/>
          <w:szCs w:val="24"/>
        </w:rPr>
        <w:t xml:space="preserve"> </w:t>
      </w:r>
    </w:p>
    <w:p w14:paraId="3D1F61FE" w14:textId="77777777" w:rsidR="0084096A" w:rsidRPr="00841801" w:rsidRDefault="0084096A" w:rsidP="00841801">
      <w:pPr>
        <w:spacing w:after="0" w:line="300" w:lineRule="atLeast"/>
        <w:rPr>
          <w:rFonts w:ascii="Arial" w:hAnsi="Arial" w:cs="Arial"/>
        </w:rPr>
      </w:pPr>
    </w:p>
    <w:p w14:paraId="21A04A92" w14:textId="46774249" w:rsidR="00734061" w:rsidRDefault="00E67553" w:rsidP="00E3031B">
      <w:pPr>
        <w:pStyle w:val="ListParagraph"/>
        <w:numPr>
          <w:ilvl w:val="1"/>
          <w:numId w:val="42"/>
        </w:numPr>
        <w:spacing w:after="0" w:line="300" w:lineRule="atLeast"/>
        <w:ind w:left="720" w:hanging="720"/>
        <w:contextualSpacing w:val="0"/>
        <w:rPr>
          <w:rFonts w:ascii="Arial" w:hAnsi="Arial" w:cs="Arial"/>
        </w:rPr>
      </w:pPr>
      <w:r w:rsidRPr="004C59AF">
        <w:rPr>
          <w:rFonts w:ascii="Arial" w:hAnsi="Arial" w:cs="Arial"/>
        </w:rPr>
        <w:t xml:space="preserve">This report has provided justification for an </w:t>
      </w:r>
      <w:r w:rsidR="004C59AF" w:rsidRPr="004C59AF">
        <w:rPr>
          <w:rFonts w:ascii="Arial" w:hAnsi="Arial" w:cs="Arial"/>
        </w:rPr>
        <w:t xml:space="preserve">additional </w:t>
      </w:r>
      <w:r w:rsidRPr="004C59AF">
        <w:rPr>
          <w:rFonts w:ascii="Arial" w:hAnsi="Arial" w:cs="Arial"/>
        </w:rPr>
        <w:t>Article 4 Direction ap</w:t>
      </w:r>
      <w:r w:rsidR="003A0AEB" w:rsidRPr="004C59AF">
        <w:rPr>
          <w:rFonts w:ascii="Arial" w:hAnsi="Arial" w:cs="Arial"/>
        </w:rPr>
        <w:t xml:space="preserve">plicable across </w:t>
      </w:r>
      <w:r w:rsidR="00AF170C">
        <w:rPr>
          <w:rFonts w:ascii="Arial" w:hAnsi="Arial" w:cs="Arial"/>
        </w:rPr>
        <w:t>7 of the remaining</w:t>
      </w:r>
      <w:r w:rsidR="004C59AF" w:rsidRPr="004C59AF">
        <w:rPr>
          <w:rFonts w:ascii="Arial" w:hAnsi="Arial" w:cs="Arial"/>
        </w:rPr>
        <w:t xml:space="preserve"> W</w:t>
      </w:r>
      <w:r w:rsidR="003A0AEB" w:rsidRPr="004C59AF">
        <w:rPr>
          <w:rFonts w:ascii="Arial" w:hAnsi="Arial" w:cs="Arial"/>
        </w:rPr>
        <w:t xml:space="preserve">ards </w:t>
      </w:r>
      <w:r w:rsidR="004C59AF" w:rsidRPr="004C59AF">
        <w:rPr>
          <w:rFonts w:ascii="Arial" w:hAnsi="Arial" w:cs="Arial"/>
        </w:rPr>
        <w:t xml:space="preserve">of the Borough.  Any planning applications that were to be determined after the Article 4 Direction takes effect would be determined in line with the Development and any other relevant material considerations. </w:t>
      </w:r>
    </w:p>
    <w:p w14:paraId="29103BEA" w14:textId="77777777" w:rsidR="004C59AF" w:rsidRPr="004C59AF" w:rsidRDefault="004C59AF" w:rsidP="004C59AF">
      <w:pPr>
        <w:pStyle w:val="ListParagraph"/>
        <w:spacing w:after="0" w:line="300" w:lineRule="atLeast"/>
        <w:contextualSpacing w:val="0"/>
        <w:rPr>
          <w:rFonts w:ascii="Arial" w:hAnsi="Arial" w:cs="Arial"/>
        </w:rPr>
      </w:pPr>
    </w:p>
    <w:p w14:paraId="1D59843B" w14:textId="45E9DB16" w:rsidR="00E67553" w:rsidRDefault="00E67553" w:rsidP="00E3031B">
      <w:pPr>
        <w:pStyle w:val="ListParagraph"/>
        <w:numPr>
          <w:ilvl w:val="1"/>
          <w:numId w:val="42"/>
        </w:numPr>
        <w:spacing w:after="0" w:line="300" w:lineRule="atLeast"/>
        <w:ind w:left="720" w:hanging="720"/>
        <w:contextualSpacing w:val="0"/>
        <w:rPr>
          <w:rFonts w:ascii="Arial" w:hAnsi="Arial" w:cs="Arial"/>
        </w:rPr>
      </w:pPr>
      <w:r w:rsidRPr="00E810AA">
        <w:rPr>
          <w:rFonts w:ascii="Arial" w:hAnsi="Arial" w:cs="Arial"/>
        </w:rPr>
        <w:t>The removal of permitted development rights through the</w:t>
      </w:r>
      <w:r w:rsidR="000C014C" w:rsidRPr="00E810AA">
        <w:rPr>
          <w:rFonts w:ascii="Arial" w:hAnsi="Arial" w:cs="Arial"/>
        </w:rPr>
        <w:t xml:space="preserve"> introduction of</w:t>
      </w:r>
      <w:r w:rsidRPr="00E810AA">
        <w:rPr>
          <w:rFonts w:ascii="Arial" w:hAnsi="Arial" w:cs="Arial"/>
        </w:rPr>
        <w:t xml:space="preserve"> </w:t>
      </w:r>
      <w:r w:rsidR="00841801">
        <w:rPr>
          <w:rFonts w:ascii="Arial" w:hAnsi="Arial" w:cs="Arial"/>
        </w:rPr>
        <w:t xml:space="preserve">an </w:t>
      </w:r>
      <w:r w:rsidRPr="00E810AA">
        <w:rPr>
          <w:rFonts w:ascii="Arial" w:hAnsi="Arial" w:cs="Arial"/>
        </w:rPr>
        <w:t>Article 4 direct</w:t>
      </w:r>
      <w:r w:rsidR="003A0AEB">
        <w:rPr>
          <w:rFonts w:ascii="Arial" w:hAnsi="Arial" w:cs="Arial"/>
        </w:rPr>
        <w:t>ion may result in an increase in the</w:t>
      </w:r>
      <w:r w:rsidRPr="00E810AA">
        <w:rPr>
          <w:rFonts w:ascii="Arial" w:hAnsi="Arial" w:cs="Arial"/>
        </w:rPr>
        <w:t xml:space="preserve"> numbe</w:t>
      </w:r>
      <w:r w:rsidR="003A0AEB">
        <w:rPr>
          <w:rFonts w:ascii="Arial" w:hAnsi="Arial" w:cs="Arial"/>
        </w:rPr>
        <w:t xml:space="preserve">r of planning applications for HMO’s, although there is some </w:t>
      </w:r>
      <w:r w:rsidR="004D6EB8">
        <w:rPr>
          <w:rFonts w:ascii="Arial" w:hAnsi="Arial" w:cs="Arial"/>
        </w:rPr>
        <w:t xml:space="preserve">anecdotal </w:t>
      </w:r>
      <w:r w:rsidR="003A0AEB">
        <w:rPr>
          <w:rFonts w:ascii="Arial" w:hAnsi="Arial" w:cs="Arial"/>
        </w:rPr>
        <w:t xml:space="preserve">evidence to suggest that </w:t>
      </w:r>
      <w:r w:rsidR="004D6EB8">
        <w:rPr>
          <w:rFonts w:ascii="Arial" w:hAnsi="Arial" w:cs="Arial"/>
        </w:rPr>
        <w:t xml:space="preserve">organisations or landlords seeking to develop HMO’s avoid those areas with Article 4 Directions in place. </w:t>
      </w:r>
      <w:r w:rsidRPr="00E810AA">
        <w:rPr>
          <w:rFonts w:ascii="Arial" w:hAnsi="Arial" w:cs="Arial"/>
        </w:rPr>
        <w:t>On-going annual monitoring and management o</w:t>
      </w:r>
      <w:r w:rsidR="004C59AF">
        <w:rPr>
          <w:rFonts w:ascii="Arial" w:hAnsi="Arial" w:cs="Arial"/>
        </w:rPr>
        <w:t>f</w:t>
      </w:r>
      <w:r w:rsidRPr="00E810AA">
        <w:rPr>
          <w:rFonts w:ascii="Arial" w:hAnsi="Arial" w:cs="Arial"/>
        </w:rPr>
        <w:t xml:space="preserve"> the database of the numbers of HMOs would provide </w:t>
      </w:r>
      <w:r w:rsidR="004C59AF">
        <w:rPr>
          <w:rFonts w:ascii="Arial" w:hAnsi="Arial" w:cs="Arial"/>
        </w:rPr>
        <w:t xml:space="preserve">an </w:t>
      </w:r>
      <w:r w:rsidRPr="00E810AA">
        <w:rPr>
          <w:rFonts w:ascii="Arial" w:hAnsi="Arial" w:cs="Arial"/>
        </w:rPr>
        <w:t>up-to-date evidence base for the assessment of</w:t>
      </w:r>
      <w:r w:rsidR="004C59AF">
        <w:rPr>
          <w:rFonts w:ascii="Arial" w:hAnsi="Arial" w:cs="Arial"/>
        </w:rPr>
        <w:t xml:space="preserve"> the effectiveness of the Article 4 Direction</w:t>
      </w:r>
      <w:r w:rsidRPr="00E810AA">
        <w:rPr>
          <w:rFonts w:ascii="Arial" w:hAnsi="Arial" w:cs="Arial"/>
        </w:rPr>
        <w:t xml:space="preserve">. </w:t>
      </w:r>
      <w:r w:rsidR="003A0AEB">
        <w:rPr>
          <w:rFonts w:ascii="Arial" w:hAnsi="Arial" w:cs="Arial"/>
        </w:rPr>
        <w:t xml:space="preserve"> </w:t>
      </w:r>
    </w:p>
    <w:p w14:paraId="0E327FF6" w14:textId="77777777" w:rsidR="00734061" w:rsidRPr="00E810AA" w:rsidRDefault="00734061" w:rsidP="00734061">
      <w:pPr>
        <w:pStyle w:val="ListParagraph"/>
        <w:spacing w:after="0" w:line="300" w:lineRule="atLeast"/>
        <w:contextualSpacing w:val="0"/>
        <w:rPr>
          <w:rFonts w:ascii="Arial" w:hAnsi="Arial" w:cs="Arial"/>
        </w:rPr>
      </w:pPr>
    </w:p>
    <w:p w14:paraId="4263C082" w14:textId="41ACF42E" w:rsidR="00E67553" w:rsidRPr="004C59AF" w:rsidRDefault="00E67553" w:rsidP="004C59AF">
      <w:pPr>
        <w:spacing w:after="0" w:line="300" w:lineRule="atLeast"/>
        <w:rPr>
          <w:rFonts w:ascii="Arial" w:hAnsi="Arial" w:cs="Arial"/>
        </w:rPr>
      </w:pPr>
    </w:p>
    <w:p w14:paraId="07DD014A" w14:textId="77777777" w:rsidR="00734061" w:rsidRDefault="00734061" w:rsidP="00734061">
      <w:pPr>
        <w:pStyle w:val="ListParagraph"/>
        <w:spacing w:after="0" w:line="300" w:lineRule="atLeast"/>
        <w:contextualSpacing w:val="0"/>
        <w:rPr>
          <w:rFonts w:ascii="Arial" w:hAnsi="Arial" w:cs="Arial"/>
        </w:rPr>
      </w:pPr>
    </w:p>
    <w:p w14:paraId="448720FD" w14:textId="77777777" w:rsidR="00734061" w:rsidRPr="00E810AA" w:rsidRDefault="00734061" w:rsidP="00734061">
      <w:pPr>
        <w:pStyle w:val="ListParagraph"/>
        <w:spacing w:after="0" w:line="300" w:lineRule="atLeast"/>
        <w:contextualSpacing w:val="0"/>
        <w:rPr>
          <w:rFonts w:ascii="Arial" w:hAnsi="Arial" w:cs="Arial"/>
        </w:rPr>
      </w:pPr>
    </w:p>
    <w:p w14:paraId="0F097117" w14:textId="77777777" w:rsidR="00E67553" w:rsidRPr="00E810AA" w:rsidRDefault="00E67553" w:rsidP="00E810AA">
      <w:pPr>
        <w:spacing w:after="0" w:line="300" w:lineRule="atLeast"/>
        <w:rPr>
          <w:rFonts w:ascii="Arial" w:hAnsi="Arial" w:cs="Arial"/>
        </w:rPr>
      </w:pPr>
      <w:r w:rsidRPr="00E810AA">
        <w:rPr>
          <w:rFonts w:ascii="Arial" w:hAnsi="Arial" w:cs="Arial"/>
        </w:rPr>
        <w:br w:type="page"/>
      </w:r>
    </w:p>
    <w:p w14:paraId="78443766" w14:textId="77777777" w:rsidR="00E67553" w:rsidRPr="00D01EE0" w:rsidRDefault="00D01EE0" w:rsidP="00D01EE0">
      <w:pPr>
        <w:pStyle w:val="Heading1"/>
        <w:rPr>
          <w:rFonts w:ascii="Arial" w:hAnsi="Arial" w:cs="Arial"/>
          <w:b/>
          <w:sz w:val="28"/>
          <w:szCs w:val="28"/>
        </w:rPr>
      </w:pPr>
      <w:bookmarkStart w:id="9" w:name="_Toc223633625"/>
      <w:r w:rsidRPr="00D01EE0">
        <w:rPr>
          <w:rFonts w:ascii="Arial" w:hAnsi="Arial" w:cs="Arial"/>
          <w:b/>
          <w:sz w:val="28"/>
          <w:szCs w:val="28"/>
        </w:rPr>
        <w:lastRenderedPageBreak/>
        <w:t xml:space="preserve">Appendix 1.  </w:t>
      </w:r>
      <w:r w:rsidR="00E67553" w:rsidRPr="00D01EE0">
        <w:rPr>
          <w:rFonts w:ascii="Arial" w:hAnsi="Arial" w:cs="Arial"/>
          <w:b/>
          <w:sz w:val="28"/>
          <w:szCs w:val="28"/>
        </w:rPr>
        <w:t>Glossary of Terms and Acronyms</w:t>
      </w:r>
      <w:bookmarkEnd w:id="9"/>
      <w:r w:rsidR="00E67553" w:rsidRPr="00D01EE0">
        <w:rPr>
          <w:rFonts w:ascii="Arial" w:hAnsi="Arial" w:cs="Arial"/>
          <w:b/>
          <w:sz w:val="28"/>
          <w:szCs w:val="28"/>
        </w:rPr>
        <w:t xml:space="preserve"> </w:t>
      </w:r>
    </w:p>
    <w:p w14:paraId="6C0E3F29" w14:textId="77777777" w:rsidR="004D6EB8" w:rsidRPr="00E810AA" w:rsidRDefault="004D6EB8" w:rsidP="00E810AA">
      <w:pPr>
        <w:spacing w:after="0" w:line="300" w:lineRule="atLeast"/>
        <w:rPr>
          <w:rFonts w:ascii="Arial" w:hAnsi="Arial" w:cs="Arial"/>
          <w:b/>
          <w:i/>
        </w:rPr>
      </w:pPr>
    </w:p>
    <w:p w14:paraId="7999F284" w14:textId="77777777" w:rsidR="00E67553" w:rsidRPr="00E810AA" w:rsidRDefault="00E67553" w:rsidP="00E810AA">
      <w:pPr>
        <w:spacing w:after="0" w:line="300" w:lineRule="atLeast"/>
        <w:rPr>
          <w:rFonts w:ascii="Arial" w:hAnsi="Arial" w:cs="Arial"/>
        </w:rPr>
      </w:pPr>
      <w:r w:rsidRPr="00E810AA">
        <w:rPr>
          <w:rFonts w:ascii="Arial" w:hAnsi="Arial" w:cs="Arial"/>
          <w:b/>
        </w:rPr>
        <w:t>Additional HMO Licensing</w:t>
      </w:r>
      <w:r w:rsidRPr="00E810AA">
        <w:rPr>
          <w:rFonts w:ascii="Arial" w:hAnsi="Arial" w:cs="Arial"/>
        </w:rPr>
        <w:t xml:space="preserve"> </w:t>
      </w:r>
    </w:p>
    <w:p w14:paraId="21F99E14" w14:textId="77777777" w:rsidR="00E67553" w:rsidRDefault="00E67553" w:rsidP="00E810AA">
      <w:pPr>
        <w:spacing w:after="0" w:line="300" w:lineRule="atLeast"/>
        <w:rPr>
          <w:rFonts w:ascii="Arial" w:hAnsi="Arial" w:cs="Arial"/>
        </w:rPr>
      </w:pPr>
      <w:r w:rsidRPr="00E810AA">
        <w:rPr>
          <w:rFonts w:ascii="Arial" w:hAnsi="Arial" w:cs="Arial"/>
        </w:rPr>
        <w:t>Additional licensing is when a council can impose a licence on other categories of HMOs in its area which are not subject to mandatory licensing. The council can do this if it considers that a significant proportion of these HMOs are being managed sufficiently ineffectively so as to give rise to one or more particular problems, either for the occupants of the HMOs or for members of the public</w:t>
      </w:r>
      <w:r w:rsidRPr="00E810AA">
        <w:rPr>
          <w:rStyle w:val="FootnoteReference"/>
          <w:rFonts w:ascii="Arial" w:hAnsi="Arial" w:cs="Arial"/>
        </w:rPr>
        <w:footnoteReference w:id="12"/>
      </w:r>
      <w:r w:rsidRPr="00E810AA">
        <w:rPr>
          <w:rFonts w:ascii="Arial" w:hAnsi="Arial" w:cs="Arial"/>
        </w:rPr>
        <w:t>.</w:t>
      </w:r>
    </w:p>
    <w:p w14:paraId="00321CF1" w14:textId="77777777" w:rsidR="004D6EB8" w:rsidRPr="00E810AA" w:rsidRDefault="004D6EB8" w:rsidP="00E810AA">
      <w:pPr>
        <w:spacing w:after="0" w:line="300" w:lineRule="atLeast"/>
        <w:rPr>
          <w:rFonts w:ascii="Arial" w:hAnsi="Arial" w:cs="Arial"/>
        </w:rPr>
      </w:pPr>
    </w:p>
    <w:p w14:paraId="1D8CFB75" w14:textId="77777777" w:rsidR="00E67553" w:rsidRPr="00E810AA" w:rsidRDefault="00E67553" w:rsidP="00E810AA">
      <w:pPr>
        <w:spacing w:after="0" w:line="300" w:lineRule="atLeast"/>
        <w:rPr>
          <w:rFonts w:ascii="Arial" w:hAnsi="Arial" w:cs="Arial"/>
          <w:b/>
        </w:rPr>
      </w:pPr>
      <w:r w:rsidRPr="00E810AA">
        <w:rPr>
          <w:rFonts w:ascii="Arial" w:hAnsi="Arial" w:cs="Arial"/>
          <w:b/>
        </w:rPr>
        <w:t>Article 4 Direction</w:t>
      </w:r>
    </w:p>
    <w:p w14:paraId="449769EF" w14:textId="77777777" w:rsidR="00E67553" w:rsidRDefault="00E67553" w:rsidP="00E810AA">
      <w:pPr>
        <w:spacing w:after="0" w:line="300" w:lineRule="atLeast"/>
        <w:rPr>
          <w:rFonts w:ascii="Arial" w:hAnsi="Arial" w:cs="Arial"/>
        </w:rPr>
      </w:pPr>
      <w:r w:rsidRPr="00E810AA">
        <w:rPr>
          <w:rFonts w:ascii="Arial" w:hAnsi="Arial" w:cs="Arial"/>
        </w:rPr>
        <w:t>A Notice under Section 4 of the Town and Country Planning Act 1990 is commonly known as an ‘Article 4 Direction’. In relation to Houses in Multiple Occupation (HMOs) use of an Article 4 Direction means that within a defined area, planning permission is required to convert a Class C3 dwellinghouse into a Class C4 house in multiple occupation with between 3 and 6 occupiers who are not related to each other. Local authorities adopting Article 4 Directions have done so as they believe it will ‘help to manage areas of high concentration of HMOs, and those areas which are predicted to either experience growth of HMOs in the near future, or which are likely to suffer from a displacement of HMO demand from the areas currently experiencing significant problems’.</w:t>
      </w:r>
    </w:p>
    <w:p w14:paraId="7FC7C10C" w14:textId="77777777" w:rsidR="004D6EB8" w:rsidRPr="00E810AA" w:rsidRDefault="004D6EB8" w:rsidP="00E810AA">
      <w:pPr>
        <w:spacing w:after="0" w:line="300" w:lineRule="atLeast"/>
        <w:rPr>
          <w:rFonts w:ascii="Arial" w:hAnsi="Arial" w:cs="Arial"/>
        </w:rPr>
      </w:pPr>
    </w:p>
    <w:p w14:paraId="2D45F7A6" w14:textId="77777777" w:rsidR="00E67553" w:rsidRPr="00E810AA" w:rsidRDefault="00E67553" w:rsidP="00E810AA">
      <w:pPr>
        <w:spacing w:after="0" w:line="300" w:lineRule="atLeast"/>
        <w:rPr>
          <w:rFonts w:ascii="Arial" w:hAnsi="Arial" w:cs="Arial"/>
          <w:b/>
        </w:rPr>
      </w:pPr>
      <w:r w:rsidRPr="00E810AA">
        <w:rPr>
          <w:rFonts w:ascii="Arial" w:hAnsi="Arial" w:cs="Arial"/>
          <w:b/>
        </w:rPr>
        <w:t>Building Regulations for HMO</w:t>
      </w:r>
    </w:p>
    <w:p w14:paraId="703A72BE" w14:textId="77777777" w:rsidR="00E67553" w:rsidRDefault="00E67553" w:rsidP="00E810AA">
      <w:pPr>
        <w:spacing w:after="0" w:line="300" w:lineRule="atLeast"/>
        <w:rPr>
          <w:rFonts w:ascii="Arial" w:hAnsi="Arial" w:cs="Arial"/>
        </w:rPr>
      </w:pPr>
      <w:r w:rsidRPr="00E810AA">
        <w:rPr>
          <w:rFonts w:ascii="Arial" w:hAnsi="Arial" w:cs="Arial"/>
        </w:rPr>
        <w:t xml:space="preserve">Building Regulation approval is required in respect of conversion works to provide new HMOs, such as the conversion of older properties into self-contained flats. </w:t>
      </w:r>
    </w:p>
    <w:p w14:paraId="0D50E241" w14:textId="77777777" w:rsidR="004D6EB8" w:rsidRPr="00E810AA" w:rsidRDefault="004D6EB8" w:rsidP="00E810AA">
      <w:pPr>
        <w:spacing w:after="0" w:line="300" w:lineRule="atLeast"/>
        <w:rPr>
          <w:rFonts w:ascii="Arial" w:hAnsi="Arial" w:cs="Arial"/>
        </w:rPr>
      </w:pPr>
    </w:p>
    <w:p w14:paraId="73049B92" w14:textId="77777777" w:rsidR="00E67553" w:rsidRPr="00E810AA" w:rsidRDefault="00E67553" w:rsidP="00E810AA">
      <w:pPr>
        <w:spacing w:after="0" w:line="300" w:lineRule="atLeast"/>
        <w:rPr>
          <w:rFonts w:ascii="Arial" w:hAnsi="Arial" w:cs="Arial"/>
          <w:b/>
        </w:rPr>
      </w:pPr>
      <w:r w:rsidRPr="00E810AA">
        <w:rPr>
          <w:rFonts w:ascii="Arial" w:hAnsi="Arial" w:cs="Arial"/>
          <w:b/>
        </w:rPr>
        <w:t>Council Tax Exemption</w:t>
      </w:r>
    </w:p>
    <w:p w14:paraId="12D12694" w14:textId="3786A758" w:rsidR="00E67553" w:rsidRPr="00E810AA" w:rsidRDefault="00E67553" w:rsidP="00E810AA">
      <w:pPr>
        <w:spacing w:after="0" w:line="300" w:lineRule="atLeast"/>
        <w:rPr>
          <w:rFonts w:ascii="Arial" w:hAnsi="Arial" w:cs="Arial"/>
        </w:rPr>
      </w:pPr>
      <w:r w:rsidRPr="00E810AA">
        <w:rPr>
          <w:rFonts w:ascii="Arial" w:hAnsi="Arial" w:cs="Arial"/>
        </w:rPr>
        <w:t>Council Tax classification has two types of student exemption: Class M relates to halls of residence owned or managed by an institution and Class N relates to dwellings whose occupants are students. Council Tax Class N student exemptions also include students occupying general private rented apartments, a self-contained dwelling, either as a single tenant or sharing with a friend but the accommodation would not be defined as a HMO. Furthermore, Council Tax student exemption data will also include the head of a family household, who happens to be student, occupying a family dwelling.</w:t>
      </w:r>
    </w:p>
    <w:p w14:paraId="7CC1BD06" w14:textId="77777777" w:rsidR="008E0EAC" w:rsidRPr="00E810AA" w:rsidRDefault="008E0EAC" w:rsidP="00E810AA">
      <w:pPr>
        <w:spacing w:after="0" w:line="300" w:lineRule="atLeast"/>
        <w:rPr>
          <w:rFonts w:ascii="Arial" w:hAnsi="Arial" w:cs="Arial"/>
        </w:rPr>
      </w:pPr>
    </w:p>
    <w:p w14:paraId="2F7D9767" w14:textId="77777777" w:rsidR="00E67553" w:rsidRPr="00E810AA" w:rsidRDefault="00E67553" w:rsidP="00E810AA">
      <w:pPr>
        <w:spacing w:after="0" w:line="300" w:lineRule="atLeast"/>
        <w:rPr>
          <w:rFonts w:ascii="Arial" w:hAnsi="Arial" w:cs="Arial"/>
          <w:b/>
        </w:rPr>
      </w:pPr>
      <w:r w:rsidRPr="00E810AA">
        <w:rPr>
          <w:rFonts w:ascii="Arial" w:hAnsi="Arial" w:cs="Arial"/>
          <w:b/>
        </w:rPr>
        <w:t xml:space="preserve">Concentrations of HMOs </w:t>
      </w:r>
    </w:p>
    <w:p w14:paraId="00260697" w14:textId="77777777" w:rsidR="00E67553" w:rsidRDefault="00E67553" w:rsidP="00E810AA">
      <w:pPr>
        <w:spacing w:after="0" w:line="300" w:lineRule="atLeast"/>
        <w:rPr>
          <w:rFonts w:ascii="Arial" w:hAnsi="Arial" w:cs="Arial"/>
        </w:rPr>
      </w:pPr>
      <w:r w:rsidRPr="00E810AA">
        <w:rPr>
          <w:rFonts w:ascii="Arial" w:hAnsi="Arial" w:cs="Arial"/>
        </w:rPr>
        <w:t>To identify those areas where there are concentrations of HMOs, it is necessary to identify the total number of dwellings within a given area based on precise boundaries, and the number of those dwellings that may be HMOs drawn from analysis of student residence patterns, locations of private rented housing, and council tax and HMO licensing records.</w:t>
      </w:r>
    </w:p>
    <w:p w14:paraId="4DD77CDC" w14:textId="77777777" w:rsidR="004D6EB8" w:rsidRPr="00E810AA" w:rsidRDefault="004D6EB8" w:rsidP="00E810AA">
      <w:pPr>
        <w:spacing w:after="0" w:line="300" w:lineRule="atLeast"/>
        <w:rPr>
          <w:rFonts w:ascii="Arial" w:hAnsi="Arial" w:cs="Arial"/>
        </w:rPr>
      </w:pPr>
    </w:p>
    <w:p w14:paraId="5EDDF1FE" w14:textId="77777777" w:rsidR="00E67553" w:rsidRPr="00E810AA" w:rsidRDefault="00E67553" w:rsidP="00E810AA">
      <w:pPr>
        <w:spacing w:after="0" w:line="300" w:lineRule="atLeast"/>
        <w:rPr>
          <w:rFonts w:ascii="Arial" w:hAnsi="Arial" w:cs="Arial"/>
        </w:rPr>
      </w:pPr>
      <w:r w:rsidRPr="00E810AA">
        <w:rPr>
          <w:rFonts w:ascii="Arial" w:hAnsi="Arial" w:cs="Arial"/>
          <w:b/>
        </w:rPr>
        <w:t>HMO Licensing</w:t>
      </w:r>
      <w:r w:rsidRPr="00E810AA">
        <w:rPr>
          <w:rFonts w:ascii="Arial" w:hAnsi="Arial" w:cs="Arial"/>
        </w:rPr>
        <w:t xml:space="preserve"> </w:t>
      </w:r>
    </w:p>
    <w:p w14:paraId="03997EFC" w14:textId="77777777" w:rsidR="00E67553" w:rsidRPr="00E810AA" w:rsidRDefault="00E67553" w:rsidP="00E810AA">
      <w:pPr>
        <w:spacing w:after="0" w:line="300" w:lineRule="atLeast"/>
        <w:rPr>
          <w:rFonts w:ascii="Arial" w:hAnsi="Arial" w:cs="Arial"/>
        </w:rPr>
      </w:pPr>
      <w:r w:rsidRPr="00E810AA">
        <w:rPr>
          <w:rFonts w:ascii="Arial" w:hAnsi="Arial" w:cs="Arial"/>
        </w:rPr>
        <w:t xml:space="preserve">These are mandatory conditions which require the licence holder to: </w:t>
      </w:r>
    </w:p>
    <w:p w14:paraId="32A937A1" w14:textId="77777777" w:rsidR="00E67553" w:rsidRPr="00E810AA" w:rsidRDefault="00E67553" w:rsidP="00E810AA">
      <w:pPr>
        <w:pStyle w:val="ListParagraph"/>
        <w:numPr>
          <w:ilvl w:val="0"/>
          <w:numId w:val="11"/>
        </w:numPr>
        <w:spacing w:after="0" w:line="300" w:lineRule="atLeast"/>
        <w:rPr>
          <w:rFonts w:ascii="Arial" w:hAnsi="Arial" w:cs="Arial"/>
        </w:rPr>
      </w:pPr>
      <w:r w:rsidRPr="00E810AA">
        <w:rPr>
          <w:rFonts w:ascii="Arial" w:hAnsi="Arial" w:cs="Arial"/>
        </w:rPr>
        <w:t xml:space="preserve">produce an annual gas safety certificate </w:t>
      </w:r>
    </w:p>
    <w:p w14:paraId="20C7EA2A" w14:textId="77777777" w:rsidR="00E67553" w:rsidRPr="00E810AA" w:rsidRDefault="00E67553" w:rsidP="00E810AA">
      <w:pPr>
        <w:pStyle w:val="ListParagraph"/>
        <w:numPr>
          <w:ilvl w:val="0"/>
          <w:numId w:val="11"/>
        </w:numPr>
        <w:spacing w:after="0" w:line="300" w:lineRule="atLeast"/>
        <w:rPr>
          <w:rFonts w:ascii="Arial" w:hAnsi="Arial" w:cs="Arial"/>
        </w:rPr>
      </w:pPr>
      <w:r w:rsidRPr="00E810AA">
        <w:rPr>
          <w:rFonts w:ascii="Arial" w:hAnsi="Arial" w:cs="Arial"/>
        </w:rPr>
        <w:lastRenderedPageBreak/>
        <w:t xml:space="preserve">keep electrical appliances and furniture supplied by the landlord in a safe condition and to supply declarations of their safety to the local council on demand </w:t>
      </w:r>
    </w:p>
    <w:p w14:paraId="306F1C75" w14:textId="77777777" w:rsidR="00E67553" w:rsidRPr="00E810AA" w:rsidRDefault="00E67553" w:rsidP="00E810AA">
      <w:pPr>
        <w:pStyle w:val="ListParagraph"/>
        <w:numPr>
          <w:ilvl w:val="0"/>
          <w:numId w:val="11"/>
        </w:numPr>
        <w:spacing w:after="0" w:line="300" w:lineRule="atLeast"/>
        <w:rPr>
          <w:rFonts w:ascii="Arial" w:hAnsi="Arial" w:cs="Arial"/>
        </w:rPr>
      </w:pPr>
      <w:r w:rsidRPr="00E810AA">
        <w:rPr>
          <w:rFonts w:ascii="Arial" w:hAnsi="Arial" w:cs="Arial"/>
        </w:rPr>
        <w:t xml:space="preserve">install smoke alarms and keep them in proper working order and to supply to the local council, on demand, a declaration of their positioning and condition; and </w:t>
      </w:r>
    </w:p>
    <w:p w14:paraId="31A38E1F" w14:textId="77777777" w:rsidR="00E67553" w:rsidRPr="00E810AA" w:rsidRDefault="00E67553" w:rsidP="00E810AA">
      <w:pPr>
        <w:pStyle w:val="ListParagraph"/>
        <w:numPr>
          <w:ilvl w:val="0"/>
          <w:numId w:val="11"/>
        </w:numPr>
        <w:spacing w:after="0" w:line="300" w:lineRule="atLeast"/>
        <w:rPr>
          <w:rFonts w:ascii="Arial" w:hAnsi="Arial" w:cs="Arial"/>
        </w:rPr>
      </w:pPr>
      <w:r w:rsidRPr="00E810AA">
        <w:rPr>
          <w:rFonts w:ascii="Arial" w:hAnsi="Arial" w:cs="Arial"/>
        </w:rPr>
        <w:t>give the occupiers a statement of the terms on which they occupy the HMO. The council may also specify conditions such as those relating to the facilities in the HMO, its condition and the management of the building, including how the licence holder deals with the behaviour of occupiers.</w:t>
      </w:r>
    </w:p>
    <w:p w14:paraId="183E6670" w14:textId="77777777" w:rsidR="004D6EB8" w:rsidRPr="00E810AA" w:rsidRDefault="004D6EB8" w:rsidP="00E810AA">
      <w:pPr>
        <w:spacing w:after="0" w:line="300" w:lineRule="atLeast"/>
        <w:rPr>
          <w:rFonts w:ascii="Arial" w:hAnsi="Arial" w:cs="Arial"/>
        </w:rPr>
      </w:pPr>
    </w:p>
    <w:p w14:paraId="2CEC93C1" w14:textId="77777777" w:rsidR="00E67553" w:rsidRPr="00E810AA" w:rsidRDefault="00E67553" w:rsidP="00E810AA">
      <w:pPr>
        <w:spacing w:after="0" w:line="300" w:lineRule="atLeast"/>
        <w:rPr>
          <w:rFonts w:ascii="Arial" w:hAnsi="Arial" w:cs="Arial"/>
        </w:rPr>
      </w:pPr>
      <w:r w:rsidRPr="00E810AA">
        <w:rPr>
          <w:rFonts w:ascii="Arial" w:hAnsi="Arial" w:cs="Arial"/>
          <w:b/>
        </w:rPr>
        <w:t>Selective Licensing</w:t>
      </w:r>
      <w:r w:rsidRPr="00E810AA">
        <w:rPr>
          <w:rFonts w:ascii="Arial" w:hAnsi="Arial" w:cs="Arial"/>
        </w:rPr>
        <w:t xml:space="preserve"> </w:t>
      </w:r>
    </w:p>
    <w:p w14:paraId="0AED2E61" w14:textId="77777777" w:rsidR="00873E12" w:rsidRPr="00E810AA" w:rsidRDefault="00E67553" w:rsidP="00E810AA">
      <w:pPr>
        <w:spacing w:after="0" w:line="300" w:lineRule="atLeast"/>
        <w:rPr>
          <w:rFonts w:ascii="Arial" w:hAnsi="Arial" w:cs="Arial"/>
        </w:rPr>
      </w:pPr>
      <w:r w:rsidRPr="00E810AA">
        <w:rPr>
          <w:rFonts w:ascii="Arial" w:hAnsi="Arial" w:cs="Arial"/>
        </w:rPr>
        <w:t>Under the Housing Act 2004, local authorities have powers to introduce selective licensing of privately rented homes to address problems in their area, or any part of them, caused by low housing demand and/or significant anti-social behaviour. A designation may be made to combat problems in an area experiencing poor property conditions, an influx of migration, a high level of deprivation or high levels of crime.</w:t>
      </w:r>
    </w:p>
    <w:p w14:paraId="4818FBDB" w14:textId="77777777" w:rsidR="00E67553" w:rsidRDefault="00E67553" w:rsidP="00E810AA">
      <w:pPr>
        <w:spacing w:after="0" w:line="300" w:lineRule="atLeast"/>
        <w:rPr>
          <w:rFonts w:ascii="Arial" w:hAnsi="Arial" w:cs="Arial"/>
        </w:rPr>
      </w:pPr>
    </w:p>
    <w:p w14:paraId="0182D861" w14:textId="77777777" w:rsidR="00D01EE0" w:rsidRDefault="00D01EE0" w:rsidP="00E810AA">
      <w:pPr>
        <w:spacing w:after="0" w:line="300" w:lineRule="atLeast"/>
        <w:rPr>
          <w:rFonts w:ascii="Arial" w:hAnsi="Arial" w:cs="Arial"/>
        </w:rPr>
      </w:pPr>
    </w:p>
    <w:p w14:paraId="13B3B039" w14:textId="77777777" w:rsidR="00D01EE0" w:rsidRDefault="00D01EE0">
      <w:pPr>
        <w:rPr>
          <w:rFonts w:ascii="Arial" w:hAnsi="Arial" w:cs="Arial"/>
        </w:rPr>
      </w:pPr>
      <w:r>
        <w:rPr>
          <w:rFonts w:ascii="Arial" w:hAnsi="Arial" w:cs="Arial"/>
        </w:rPr>
        <w:br w:type="page"/>
      </w:r>
    </w:p>
    <w:p w14:paraId="6F7C29E9" w14:textId="77777777" w:rsidR="00D01EE0" w:rsidRPr="00D01EE0" w:rsidRDefault="00D01EE0" w:rsidP="00D01EE0">
      <w:pPr>
        <w:pStyle w:val="Heading1"/>
        <w:rPr>
          <w:rFonts w:ascii="Arial" w:hAnsi="Arial" w:cs="Arial"/>
          <w:b/>
          <w:sz w:val="28"/>
          <w:szCs w:val="28"/>
        </w:rPr>
      </w:pPr>
      <w:bookmarkStart w:id="10" w:name="_Toc223633626"/>
      <w:r w:rsidRPr="00D01EE0">
        <w:rPr>
          <w:rFonts w:ascii="Arial" w:hAnsi="Arial" w:cs="Arial"/>
          <w:b/>
          <w:sz w:val="28"/>
          <w:szCs w:val="28"/>
        </w:rPr>
        <w:lastRenderedPageBreak/>
        <w:t>Appendix 2.   Customer First Analysis</w:t>
      </w:r>
      <w:bookmarkEnd w:id="10"/>
    </w:p>
    <w:p w14:paraId="0960C59F" w14:textId="77777777" w:rsidR="00D01EE0" w:rsidRPr="00D01EE0" w:rsidRDefault="00D01EE0" w:rsidP="00D01EE0">
      <w:pPr>
        <w:spacing w:after="0" w:line="300" w:lineRule="atLeast"/>
        <w:rPr>
          <w:rFonts w:ascii="Arial" w:hAnsi="Arial" w:cs="Arial"/>
          <w:b/>
          <w:u w:val="single"/>
        </w:rPr>
      </w:pPr>
    </w:p>
    <w:p w14:paraId="608A2B45" w14:textId="77777777" w:rsidR="00D01EE0" w:rsidRPr="00D01EE0" w:rsidRDefault="00D01EE0" w:rsidP="00D01EE0">
      <w:pPr>
        <w:autoSpaceDE w:val="0"/>
        <w:autoSpaceDN w:val="0"/>
        <w:adjustRightInd w:val="0"/>
        <w:spacing w:after="0" w:line="300" w:lineRule="atLeast"/>
        <w:rPr>
          <w:rFonts w:ascii="Arial" w:hAnsi="Arial" w:cs="Arial"/>
          <w:b/>
        </w:rPr>
      </w:pPr>
      <w:r w:rsidRPr="00D01EE0">
        <w:rPr>
          <w:rFonts w:ascii="Arial" w:hAnsi="Arial" w:cs="Arial"/>
          <w:b/>
        </w:rPr>
        <w:t>1.</w:t>
      </w:r>
      <w:r w:rsidRPr="00D01EE0">
        <w:rPr>
          <w:rFonts w:ascii="Arial" w:hAnsi="Arial" w:cs="Arial"/>
          <w:b/>
        </w:rPr>
        <w:tab/>
        <w:t>Background</w:t>
      </w:r>
    </w:p>
    <w:p w14:paraId="2FAACCFC" w14:textId="77777777" w:rsidR="00D01EE0" w:rsidRPr="00D01EE0" w:rsidRDefault="00D01EE0" w:rsidP="00D01EE0">
      <w:pPr>
        <w:autoSpaceDE w:val="0"/>
        <w:autoSpaceDN w:val="0"/>
        <w:adjustRightInd w:val="0"/>
        <w:spacing w:after="0" w:line="300" w:lineRule="atLeast"/>
        <w:rPr>
          <w:rFonts w:ascii="Arial" w:hAnsi="Arial" w:cs="Arial"/>
          <w:b/>
        </w:rPr>
      </w:pPr>
    </w:p>
    <w:p w14:paraId="4686ADFF" w14:textId="77777777" w:rsidR="00D01EE0" w:rsidRPr="00D01EE0" w:rsidRDefault="00D01EE0" w:rsidP="00D01EE0">
      <w:pPr>
        <w:autoSpaceDE w:val="0"/>
        <w:autoSpaceDN w:val="0"/>
        <w:adjustRightInd w:val="0"/>
        <w:spacing w:after="0" w:line="300" w:lineRule="atLeast"/>
        <w:ind w:left="709" w:hanging="709"/>
        <w:rPr>
          <w:rFonts w:ascii="Arial" w:hAnsi="Arial" w:cs="Arial"/>
        </w:rPr>
      </w:pPr>
      <w:r w:rsidRPr="00D01EE0">
        <w:rPr>
          <w:rFonts w:ascii="Arial" w:hAnsi="Arial" w:cs="Arial"/>
        </w:rPr>
        <w:t>1.1</w:t>
      </w:r>
      <w:r w:rsidRPr="00D01EE0">
        <w:rPr>
          <w:rFonts w:ascii="Arial" w:hAnsi="Arial" w:cs="Arial"/>
        </w:rPr>
        <w:tab/>
        <w:t>Since 1 April 2011, we have a legal duty under the Equality Act 2010, which applies to all public authorities.  It covers these protected characteristics: age; disability; gender reassignment; pregnancy and maternity; race; religion or belief; gender; sexual orientation; and, for some aspects, marriage and civil partnerships.</w:t>
      </w:r>
    </w:p>
    <w:p w14:paraId="37CDF04C" w14:textId="77777777" w:rsidR="00D01EE0" w:rsidRPr="00D01EE0" w:rsidRDefault="00D01EE0" w:rsidP="00D01EE0">
      <w:pPr>
        <w:autoSpaceDE w:val="0"/>
        <w:autoSpaceDN w:val="0"/>
        <w:adjustRightInd w:val="0"/>
        <w:spacing w:after="0" w:line="300" w:lineRule="atLeast"/>
        <w:rPr>
          <w:rFonts w:ascii="Arial" w:hAnsi="Arial" w:cs="Arial"/>
        </w:rPr>
      </w:pPr>
    </w:p>
    <w:p w14:paraId="72885339" w14:textId="77777777" w:rsidR="00D01EE0" w:rsidRPr="00D01EE0" w:rsidRDefault="00D01EE0" w:rsidP="00D01EE0">
      <w:pPr>
        <w:autoSpaceDE w:val="0"/>
        <w:autoSpaceDN w:val="0"/>
        <w:adjustRightInd w:val="0"/>
        <w:spacing w:after="0" w:line="300" w:lineRule="atLeast"/>
        <w:ind w:left="709" w:hanging="709"/>
        <w:rPr>
          <w:rFonts w:ascii="Arial" w:hAnsi="Arial" w:cs="Arial"/>
        </w:rPr>
      </w:pPr>
      <w:r w:rsidRPr="00D01EE0">
        <w:rPr>
          <w:rFonts w:ascii="Arial" w:hAnsi="Arial" w:cs="Arial"/>
        </w:rPr>
        <w:t>1.2</w:t>
      </w:r>
      <w:r w:rsidRPr="00D01EE0">
        <w:rPr>
          <w:rFonts w:ascii="Arial" w:hAnsi="Arial" w:cs="Arial"/>
        </w:rPr>
        <w:tab/>
        <w:t xml:space="preserve">The duty means that – as previously - we should analyse the effect of existing and new policies and practices on equality.  It does not specify how we should do this.  However, legal cases on the meaning of the previous general equality duties make it clear that we must carry out the analysis </w:t>
      </w:r>
      <w:r w:rsidRPr="00D01EE0">
        <w:rPr>
          <w:rFonts w:ascii="Arial" w:hAnsi="Arial" w:cs="Arial"/>
          <w:b/>
        </w:rPr>
        <w:t>before making the relevant policy decision</w:t>
      </w:r>
      <w:r w:rsidRPr="00D01EE0">
        <w:rPr>
          <w:rFonts w:ascii="Arial" w:hAnsi="Arial" w:cs="Arial"/>
        </w:rPr>
        <w:t xml:space="preserve">, and include consideration as to whether we can reduce any detrimental impact.  </w:t>
      </w:r>
    </w:p>
    <w:p w14:paraId="72ED93B6" w14:textId="77777777" w:rsidR="00D01EE0" w:rsidRPr="00D01EE0" w:rsidRDefault="00D01EE0" w:rsidP="00D01EE0">
      <w:pPr>
        <w:autoSpaceDE w:val="0"/>
        <w:autoSpaceDN w:val="0"/>
        <w:adjustRightInd w:val="0"/>
        <w:spacing w:after="0" w:line="300" w:lineRule="atLeast"/>
        <w:rPr>
          <w:rFonts w:ascii="Arial" w:hAnsi="Arial" w:cs="Arial"/>
        </w:rPr>
      </w:pPr>
    </w:p>
    <w:p w14:paraId="1F489D70" w14:textId="47BCBF09" w:rsidR="00D01EE0" w:rsidRPr="00D01EE0" w:rsidRDefault="00D01EE0" w:rsidP="00D01EE0">
      <w:pPr>
        <w:autoSpaceDE w:val="0"/>
        <w:autoSpaceDN w:val="0"/>
        <w:adjustRightInd w:val="0"/>
        <w:spacing w:after="0" w:line="300" w:lineRule="atLeast"/>
        <w:ind w:left="709" w:hanging="709"/>
        <w:rPr>
          <w:rFonts w:ascii="Arial" w:hAnsi="Arial" w:cs="Arial"/>
        </w:rPr>
      </w:pPr>
      <w:r w:rsidRPr="00D01EE0">
        <w:rPr>
          <w:rFonts w:ascii="Arial" w:hAnsi="Arial" w:cs="Arial"/>
        </w:rPr>
        <w:t>1.3</w:t>
      </w:r>
      <w:r w:rsidRPr="00D01EE0">
        <w:rPr>
          <w:rFonts w:ascii="Arial" w:hAnsi="Arial" w:cs="Arial"/>
        </w:rPr>
        <w:tab/>
        <w:t>The framework overleaf – our Customer First Analysis - is suggested when making a written record of th</w:t>
      </w:r>
      <w:r w:rsidR="00841801">
        <w:rPr>
          <w:rFonts w:ascii="Arial" w:hAnsi="Arial" w:cs="Arial"/>
        </w:rPr>
        <w:t xml:space="preserve">is </w:t>
      </w:r>
      <w:r w:rsidRPr="00D01EE0">
        <w:rPr>
          <w:rFonts w:ascii="Arial" w:hAnsi="Arial" w:cs="Arial"/>
        </w:rPr>
        <w:t>analysis.</w:t>
      </w:r>
    </w:p>
    <w:p w14:paraId="3FCC8FF4" w14:textId="77777777" w:rsidR="00D01EE0" w:rsidRPr="00D01EE0" w:rsidRDefault="00D01EE0" w:rsidP="00D01EE0">
      <w:pPr>
        <w:autoSpaceDE w:val="0"/>
        <w:autoSpaceDN w:val="0"/>
        <w:adjustRightInd w:val="0"/>
        <w:spacing w:after="0" w:line="300" w:lineRule="atLeast"/>
        <w:rPr>
          <w:rFonts w:ascii="Arial" w:hAnsi="Arial" w:cs="Arial"/>
        </w:rPr>
      </w:pPr>
    </w:p>
    <w:p w14:paraId="25BB5B4F" w14:textId="77777777" w:rsidR="00D01EE0" w:rsidRPr="00D01EE0" w:rsidRDefault="00D01EE0" w:rsidP="00D01EE0">
      <w:pPr>
        <w:autoSpaceDE w:val="0"/>
        <w:autoSpaceDN w:val="0"/>
        <w:adjustRightInd w:val="0"/>
        <w:spacing w:after="0" w:line="300" w:lineRule="atLeast"/>
        <w:ind w:left="709" w:hanging="709"/>
        <w:rPr>
          <w:rFonts w:ascii="Arial" w:hAnsi="Arial" w:cs="Arial"/>
        </w:rPr>
      </w:pPr>
      <w:r w:rsidRPr="00D01EE0">
        <w:rPr>
          <w:rFonts w:ascii="Arial" w:hAnsi="Arial" w:cs="Arial"/>
        </w:rPr>
        <w:t>1.4</w:t>
      </w:r>
      <w:r w:rsidRPr="00D01EE0">
        <w:rPr>
          <w:rFonts w:ascii="Arial" w:hAnsi="Arial" w:cs="Arial"/>
        </w:rPr>
        <w:tab/>
        <w:t xml:space="preserve">The Analysis should be </w:t>
      </w:r>
      <w:r w:rsidRPr="00D01EE0">
        <w:rPr>
          <w:rFonts w:ascii="Arial" w:hAnsi="Arial" w:cs="Arial"/>
          <w:b/>
        </w:rPr>
        <w:t>proportionate</w:t>
      </w:r>
      <w:r w:rsidRPr="00D01EE0">
        <w:rPr>
          <w:rFonts w:ascii="Arial" w:hAnsi="Arial" w:cs="Arial"/>
        </w:rPr>
        <w:t xml:space="preserve"> to the policy decision being taken and included when a decision is being taken on the Policy.  In some cases the written record will be a quick set of bullet points or notes under each heading, to deal with any questions which are relevant (or briefly explain why if they aren’t).  Others will need to be much more detailed.  A meaningful Analysis will help the Council make the best decision or formulate a policy which best meets our customers’ needs.</w:t>
      </w:r>
    </w:p>
    <w:p w14:paraId="1FAAAD1C" w14:textId="77777777" w:rsidR="00D01EE0" w:rsidRPr="00D01EE0" w:rsidRDefault="00D01EE0" w:rsidP="00D01EE0">
      <w:pPr>
        <w:spacing w:after="0" w:line="300" w:lineRule="atLeast"/>
        <w:rPr>
          <w:rFonts w:ascii="Arial" w:hAnsi="Arial" w:cs="Arial"/>
          <w:b/>
        </w:rPr>
      </w:pPr>
    </w:p>
    <w:p w14:paraId="71BFC29E" w14:textId="77777777" w:rsidR="00D01EE0" w:rsidRPr="00D01EE0" w:rsidRDefault="00D01EE0" w:rsidP="00D01EE0">
      <w:pPr>
        <w:spacing w:after="0" w:line="300" w:lineRule="atLeast"/>
        <w:rPr>
          <w:rFonts w:ascii="Arial" w:hAnsi="Arial" w:cs="Arial"/>
          <w:b/>
        </w:rPr>
      </w:pPr>
      <w:r w:rsidRPr="00D01EE0">
        <w:rPr>
          <w:rFonts w:ascii="Arial" w:hAnsi="Arial" w:cs="Arial"/>
          <w:b/>
        </w:rPr>
        <w:t>2.</w:t>
      </w:r>
      <w:r w:rsidRPr="00D01EE0">
        <w:rPr>
          <w:rFonts w:ascii="Arial" w:hAnsi="Arial" w:cs="Arial"/>
          <w:b/>
        </w:rPr>
        <w:tab/>
        <w:t>Purpose</w:t>
      </w:r>
    </w:p>
    <w:p w14:paraId="649A111F" w14:textId="77777777" w:rsidR="00D01EE0" w:rsidRPr="00D01EE0" w:rsidRDefault="00D01EE0" w:rsidP="00D01EE0">
      <w:pPr>
        <w:spacing w:after="0" w:line="300" w:lineRule="atLeast"/>
        <w:rPr>
          <w:rFonts w:ascii="Arial" w:hAnsi="Arial" w:cs="Arial"/>
        </w:rPr>
      </w:pPr>
    </w:p>
    <w:p w14:paraId="058FB77E" w14:textId="77777777" w:rsidR="00D01EE0" w:rsidRPr="00D01EE0" w:rsidRDefault="00D01EE0" w:rsidP="00D01EE0">
      <w:pPr>
        <w:spacing w:after="0" w:line="300" w:lineRule="atLeast"/>
        <w:rPr>
          <w:rFonts w:ascii="Arial" w:hAnsi="Arial" w:cs="Arial"/>
        </w:rPr>
      </w:pPr>
      <w:r w:rsidRPr="00D01EE0">
        <w:rPr>
          <w:rFonts w:ascii="Arial" w:hAnsi="Arial" w:cs="Arial"/>
        </w:rPr>
        <w:t>2.1</w:t>
      </w:r>
      <w:r w:rsidRPr="00D01EE0">
        <w:rPr>
          <w:rFonts w:ascii="Arial" w:hAnsi="Arial" w:cs="Arial"/>
        </w:rPr>
        <w:tab/>
        <w:t>What are you trying to achieve with the policy / service / function?</w:t>
      </w:r>
    </w:p>
    <w:p w14:paraId="757F1F75" w14:textId="77777777" w:rsidR="00D01EE0" w:rsidRPr="00D01EE0" w:rsidRDefault="00D01EE0" w:rsidP="00D01EE0">
      <w:pPr>
        <w:spacing w:after="0" w:line="300" w:lineRule="atLeast"/>
        <w:ind w:left="709"/>
        <w:rPr>
          <w:rFonts w:ascii="Arial" w:hAnsi="Arial" w:cs="Arial"/>
        </w:rPr>
      </w:pPr>
    </w:p>
    <w:p w14:paraId="28E6BEAC" w14:textId="2EF9A565" w:rsidR="00D01EE0" w:rsidRPr="00D01EE0" w:rsidRDefault="00D01EE0" w:rsidP="00D01EE0">
      <w:pPr>
        <w:spacing w:after="0" w:line="300" w:lineRule="atLeast"/>
        <w:ind w:left="709"/>
        <w:rPr>
          <w:rFonts w:ascii="Arial" w:hAnsi="Arial" w:cs="Arial"/>
        </w:rPr>
      </w:pPr>
      <w:r w:rsidRPr="00D01EE0">
        <w:rPr>
          <w:rFonts w:ascii="Arial" w:hAnsi="Arial" w:cs="Arial"/>
        </w:rPr>
        <w:t xml:space="preserve">Introducing </w:t>
      </w:r>
      <w:r w:rsidR="002770C7">
        <w:rPr>
          <w:rFonts w:ascii="Arial" w:hAnsi="Arial" w:cs="Arial"/>
        </w:rPr>
        <w:t xml:space="preserve">an additional </w:t>
      </w:r>
      <w:r w:rsidRPr="00D01EE0">
        <w:rPr>
          <w:rFonts w:ascii="Arial" w:hAnsi="Arial" w:cs="Arial"/>
        </w:rPr>
        <w:t xml:space="preserve">Article 4 Direction to </w:t>
      </w:r>
      <w:r w:rsidR="002770C7">
        <w:rPr>
          <w:rFonts w:ascii="Arial" w:hAnsi="Arial" w:cs="Arial"/>
        </w:rPr>
        <w:t xml:space="preserve">the remaining Wards in Hyndburn </w:t>
      </w:r>
      <w:r w:rsidRPr="00D01EE0">
        <w:rPr>
          <w:rFonts w:ascii="Arial" w:hAnsi="Arial" w:cs="Arial"/>
        </w:rPr>
        <w:t>to remove the permitted development right</w:t>
      </w:r>
      <w:r w:rsidR="00841801">
        <w:rPr>
          <w:rFonts w:ascii="Arial" w:hAnsi="Arial" w:cs="Arial"/>
        </w:rPr>
        <w:t>s</w:t>
      </w:r>
      <w:r w:rsidRPr="00D01EE0">
        <w:rPr>
          <w:rFonts w:ascii="Arial" w:hAnsi="Arial" w:cs="Arial"/>
        </w:rPr>
        <w:t xml:space="preserve"> for the formation of small HMOs (Class C4) through the change of use of dwellinghouses (Class C3), to ensure that further provisions and distribution of HMOs will be assessed and directed by the Local Planning Authority. </w:t>
      </w:r>
    </w:p>
    <w:p w14:paraId="372D8701" w14:textId="77777777" w:rsidR="00D01EE0" w:rsidRPr="00D01EE0" w:rsidRDefault="00D01EE0" w:rsidP="00D01EE0">
      <w:pPr>
        <w:spacing w:after="0" w:line="300" w:lineRule="atLeast"/>
        <w:ind w:left="709"/>
        <w:rPr>
          <w:rFonts w:ascii="Arial" w:hAnsi="Arial" w:cs="Arial"/>
        </w:rPr>
      </w:pPr>
    </w:p>
    <w:p w14:paraId="68A105E1" w14:textId="77777777" w:rsidR="00D01EE0" w:rsidRDefault="00D01EE0" w:rsidP="00D01EE0">
      <w:pPr>
        <w:spacing w:after="0" w:line="300" w:lineRule="atLeast"/>
        <w:rPr>
          <w:rFonts w:ascii="Arial" w:hAnsi="Arial" w:cs="Arial"/>
        </w:rPr>
      </w:pPr>
      <w:r w:rsidRPr="00D01EE0">
        <w:rPr>
          <w:rFonts w:ascii="Arial" w:hAnsi="Arial" w:cs="Arial"/>
        </w:rPr>
        <w:t>2.2</w:t>
      </w:r>
      <w:r w:rsidRPr="00D01EE0">
        <w:rPr>
          <w:rFonts w:ascii="Arial" w:hAnsi="Arial" w:cs="Arial"/>
        </w:rPr>
        <w:tab/>
        <w:t>Who defines and manages it?</w:t>
      </w:r>
    </w:p>
    <w:p w14:paraId="669E768D" w14:textId="77777777" w:rsidR="00841801" w:rsidRPr="00D01EE0" w:rsidRDefault="00841801" w:rsidP="00D01EE0">
      <w:pPr>
        <w:spacing w:after="0" w:line="300" w:lineRule="atLeast"/>
        <w:rPr>
          <w:rFonts w:ascii="Arial" w:hAnsi="Arial" w:cs="Arial"/>
        </w:rPr>
      </w:pPr>
    </w:p>
    <w:p w14:paraId="046B84C0" w14:textId="77777777" w:rsidR="00D01EE0" w:rsidRPr="00D01EE0" w:rsidRDefault="00D01EE0" w:rsidP="00D01EE0">
      <w:pPr>
        <w:spacing w:after="0" w:line="300" w:lineRule="atLeast"/>
        <w:ind w:left="709"/>
        <w:rPr>
          <w:rFonts w:ascii="Arial" w:hAnsi="Arial" w:cs="Arial"/>
        </w:rPr>
      </w:pPr>
      <w:r w:rsidRPr="00D01EE0">
        <w:rPr>
          <w:rFonts w:ascii="Arial" w:hAnsi="Arial" w:cs="Arial"/>
        </w:rPr>
        <w:t xml:space="preserve">HBC – Planning and Transportation; Housing Strategy; Environmental Health </w:t>
      </w:r>
    </w:p>
    <w:p w14:paraId="2BD05E77" w14:textId="77777777" w:rsidR="00D01EE0" w:rsidRPr="00D01EE0" w:rsidRDefault="00D01EE0" w:rsidP="00D01EE0">
      <w:pPr>
        <w:spacing w:after="0" w:line="300" w:lineRule="atLeast"/>
        <w:ind w:left="709"/>
        <w:rPr>
          <w:rFonts w:ascii="Arial" w:hAnsi="Arial" w:cs="Arial"/>
        </w:rPr>
      </w:pPr>
    </w:p>
    <w:p w14:paraId="73C4D537" w14:textId="77777777" w:rsidR="00D01EE0" w:rsidRDefault="00D01EE0" w:rsidP="00D01EE0">
      <w:pPr>
        <w:spacing w:after="0" w:line="300" w:lineRule="atLeast"/>
        <w:rPr>
          <w:rFonts w:ascii="Arial" w:hAnsi="Arial" w:cs="Arial"/>
        </w:rPr>
      </w:pPr>
      <w:r w:rsidRPr="00D01EE0">
        <w:rPr>
          <w:rFonts w:ascii="Arial" w:hAnsi="Arial" w:cs="Arial"/>
        </w:rPr>
        <w:t>2.3</w:t>
      </w:r>
      <w:r w:rsidRPr="00D01EE0">
        <w:rPr>
          <w:rFonts w:ascii="Arial" w:hAnsi="Arial" w:cs="Arial"/>
        </w:rPr>
        <w:tab/>
        <w:t>Who do you intend to benefit from it and how?</w:t>
      </w:r>
    </w:p>
    <w:p w14:paraId="1F28BED6" w14:textId="77777777" w:rsidR="00841801" w:rsidRPr="00D01EE0" w:rsidRDefault="00841801" w:rsidP="00D01EE0">
      <w:pPr>
        <w:spacing w:after="0" w:line="300" w:lineRule="atLeast"/>
        <w:rPr>
          <w:rFonts w:ascii="Arial" w:hAnsi="Arial" w:cs="Arial"/>
        </w:rPr>
      </w:pPr>
    </w:p>
    <w:p w14:paraId="6134A4F3" w14:textId="78F3AAFE" w:rsidR="00D01EE0" w:rsidRPr="00D01EE0" w:rsidRDefault="00D01EE0" w:rsidP="00D01EE0">
      <w:pPr>
        <w:spacing w:after="0" w:line="300" w:lineRule="atLeast"/>
        <w:ind w:left="709"/>
        <w:rPr>
          <w:rFonts w:ascii="Arial" w:hAnsi="Arial" w:cs="Arial"/>
        </w:rPr>
      </w:pPr>
      <w:r w:rsidRPr="00D01EE0">
        <w:rPr>
          <w:rFonts w:ascii="Arial" w:hAnsi="Arial" w:cs="Arial"/>
        </w:rPr>
        <w:t xml:space="preserve">The overconcentration of HMOs in the </w:t>
      </w:r>
      <w:r w:rsidR="002770C7">
        <w:rPr>
          <w:rFonts w:ascii="Arial" w:hAnsi="Arial" w:cs="Arial"/>
        </w:rPr>
        <w:t>Borough</w:t>
      </w:r>
      <w:r w:rsidRPr="00D01EE0">
        <w:rPr>
          <w:rFonts w:ascii="Arial" w:hAnsi="Arial" w:cs="Arial"/>
        </w:rPr>
        <w:t xml:space="preserve"> with </w:t>
      </w:r>
      <w:r w:rsidR="002770C7">
        <w:rPr>
          <w:rFonts w:ascii="Arial" w:hAnsi="Arial" w:cs="Arial"/>
        </w:rPr>
        <w:t xml:space="preserve">its </w:t>
      </w:r>
      <w:r w:rsidRPr="00D01EE0">
        <w:rPr>
          <w:rFonts w:ascii="Arial" w:hAnsi="Arial" w:cs="Arial"/>
        </w:rPr>
        <w:t>high level</w:t>
      </w:r>
      <w:r w:rsidR="002770C7">
        <w:rPr>
          <w:rFonts w:ascii="Arial" w:hAnsi="Arial" w:cs="Arial"/>
        </w:rPr>
        <w:t>s</w:t>
      </w:r>
      <w:r w:rsidRPr="00D01EE0">
        <w:rPr>
          <w:rFonts w:ascii="Arial" w:hAnsi="Arial" w:cs="Arial"/>
        </w:rPr>
        <w:t xml:space="preserve"> of deprivation and low property prices have intensified the social and economic issues. The introduction of HMO Article 4 Direction will </w:t>
      </w:r>
      <w:r w:rsidR="002770C7">
        <w:rPr>
          <w:rFonts w:ascii="Arial" w:hAnsi="Arial" w:cs="Arial"/>
        </w:rPr>
        <w:t xml:space="preserve">help to </w:t>
      </w:r>
      <w:r w:rsidRPr="00D01EE0">
        <w:rPr>
          <w:rFonts w:ascii="Arial" w:hAnsi="Arial" w:cs="Arial"/>
        </w:rPr>
        <w:t>enable the council to address those issues, and to direct and manage the future provision/distribution of HMOs in Hyndburn.</w:t>
      </w:r>
    </w:p>
    <w:p w14:paraId="3BA8F5CA" w14:textId="77777777" w:rsidR="00D01EE0" w:rsidRPr="00D01EE0" w:rsidRDefault="00D01EE0" w:rsidP="00D01EE0">
      <w:pPr>
        <w:spacing w:after="0" w:line="300" w:lineRule="atLeast"/>
        <w:ind w:left="709"/>
        <w:rPr>
          <w:rFonts w:ascii="Arial" w:hAnsi="Arial" w:cs="Arial"/>
        </w:rPr>
      </w:pPr>
      <w:r w:rsidRPr="00D01EE0">
        <w:rPr>
          <w:rFonts w:ascii="Arial" w:hAnsi="Arial" w:cs="Arial"/>
        </w:rPr>
        <w:lastRenderedPageBreak/>
        <w:t xml:space="preserve"> </w:t>
      </w:r>
    </w:p>
    <w:p w14:paraId="5BEA155B" w14:textId="77777777" w:rsidR="00D01EE0" w:rsidRPr="00D01EE0" w:rsidRDefault="00D01EE0" w:rsidP="00D01EE0">
      <w:pPr>
        <w:spacing w:after="0" w:line="300" w:lineRule="atLeast"/>
        <w:ind w:left="709"/>
        <w:rPr>
          <w:rFonts w:ascii="Arial" w:hAnsi="Arial" w:cs="Arial"/>
        </w:rPr>
      </w:pPr>
      <w:r w:rsidRPr="00D01EE0">
        <w:rPr>
          <w:rFonts w:ascii="Arial" w:hAnsi="Arial" w:cs="Arial"/>
        </w:rPr>
        <w:t xml:space="preserve">Article 4 Direction for HMOs will not only protect family dwellings and local amenity, but also enable the Council to tackle the issues such as deprivation, crime and anti-social behaviour. </w:t>
      </w:r>
    </w:p>
    <w:p w14:paraId="3E422F22" w14:textId="77777777" w:rsidR="00D01EE0" w:rsidRPr="00D01EE0" w:rsidRDefault="00D01EE0" w:rsidP="00D01EE0">
      <w:pPr>
        <w:spacing w:after="0" w:line="300" w:lineRule="atLeast"/>
        <w:rPr>
          <w:rFonts w:ascii="Arial" w:hAnsi="Arial" w:cs="Arial"/>
        </w:rPr>
      </w:pPr>
    </w:p>
    <w:p w14:paraId="0C16F47C" w14:textId="77777777" w:rsidR="00D01EE0" w:rsidRDefault="00D01EE0" w:rsidP="00D01EE0">
      <w:pPr>
        <w:spacing w:after="0" w:line="300" w:lineRule="atLeast"/>
        <w:rPr>
          <w:rFonts w:ascii="Arial" w:hAnsi="Arial" w:cs="Arial"/>
        </w:rPr>
      </w:pPr>
      <w:r w:rsidRPr="00D01EE0">
        <w:rPr>
          <w:rFonts w:ascii="Arial" w:hAnsi="Arial" w:cs="Arial"/>
        </w:rPr>
        <w:t>2.4</w:t>
      </w:r>
      <w:r w:rsidRPr="00D01EE0">
        <w:rPr>
          <w:rFonts w:ascii="Arial" w:hAnsi="Arial" w:cs="Arial"/>
        </w:rPr>
        <w:tab/>
        <w:t>What could prevent people from getting the most out of the policy / service / function?</w:t>
      </w:r>
    </w:p>
    <w:p w14:paraId="6D3E907D" w14:textId="77777777" w:rsidR="00841801" w:rsidRPr="00D01EE0" w:rsidRDefault="00841801" w:rsidP="00D01EE0">
      <w:pPr>
        <w:spacing w:after="0" w:line="300" w:lineRule="atLeast"/>
        <w:rPr>
          <w:rFonts w:ascii="Arial" w:hAnsi="Arial" w:cs="Arial"/>
        </w:rPr>
      </w:pPr>
    </w:p>
    <w:p w14:paraId="67ADF74F" w14:textId="4DF540A1" w:rsidR="00D01EE0" w:rsidRPr="00D01EE0" w:rsidRDefault="00D01EE0" w:rsidP="00D01EE0">
      <w:pPr>
        <w:spacing w:after="0" w:line="300" w:lineRule="atLeast"/>
        <w:ind w:left="709"/>
        <w:rPr>
          <w:rFonts w:ascii="Arial" w:hAnsi="Arial" w:cs="Arial"/>
        </w:rPr>
      </w:pPr>
      <w:r w:rsidRPr="00D01EE0">
        <w:rPr>
          <w:rFonts w:ascii="Arial" w:hAnsi="Arial" w:cs="Arial"/>
        </w:rPr>
        <w:t xml:space="preserve">Insufficient officer capacity and lack accurate records on the number and location of existing HMOs in the areas affected by </w:t>
      </w:r>
      <w:r w:rsidR="00841801">
        <w:rPr>
          <w:rFonts w:ascii="Arial" w:hAnsi="Arial" w:cs="Arial"/>
        </w:rPr>
        <w:t xml:space="preserve">the </w:t>
      </w:r>
      <w:r w:rsidRPr="00D01EE0">
        <w:rPr>
          <w:rFonts w:ascii="Arial" w:hAnsi="Arial" w:cs="Arial"/>
        </w:rPr>
        <w:t xml:space="preserve">Article 4 Direction. </w:t>
      </w:r>
    </w:p>
    <w:p w14:paraId="17F58FBB" w14:textId="77777777" w:rsidR="00D01EE0" w:rsidRPr="00D01EE0" w:rsidRDefault="00D01EE0" w:rsidP="00D01EE0">
      <w:pPr>
        <w:spacing w:after="0" w:line="300" w:lineRule="atLeast"/>
        <w:ind w:left="709"/>
        <w:rPr>
          <w:rFonts w:ascii="Arial" w:hAnsi="Arial" w:cs="Arial"/>
        </w:rPr>
      </w:pPr>
    </w:p>
    <w:p w14:paraId="4297C057" w14:textId="77777777" w:rsidR="00D01EE0" w:rsidRDefault="00D01EE0" w:rsidP="002770C7">
      <w:pPr>
        <w:spacing w:after="0" w:line="300" w:lineRule="atLeast"/>
        <w:ind w:left="709" w:hanging="709"/>
        <w:rPr>
          <w:rFonts w:ascii="Arial" w:hAnsi="Arial" w:cs="Arial"/>
        </w:rPr>
      </w:pPr>
      <w:r w:rsidRPr="00D01EE0">
        <w:rPr>
          <w:rFonts w:ascii="Arial" w:hAnsi="Arial" w:cs="Arial"/>
        </w:rPr>
        <w:t>2.5</w:t>
      </w:r>
      <w:r w:rsidRPr="00D01EE0">
        <w:rPr>
          <w:rFonts w:ascii="Arial" w:hAnsi="Arial" w:cs="Arial"/>
        </w:rPr>
        <w:tab/>
        <w:t>How will you get your customers involved in the analysis and how will you tell people about it?</w:t>
      </w:r>
    </w:p>
    <w:p w14:paraId="79038ABD" w14:textId="77777777" w:rsidR="00841801" w:rsidRPr="00D01EE0" w:rsidRDefault="00841801" w:rsidP="002770C7">
      <w:pPr>
        <w:spacing w:after="0" w:line="300" w:lineRule="atLeast"/>
        <w:ind w:left="709" w:hanging="709"/>
        <w:rPr>
          <w:rFonts w:ascii="Arial" w:hAnsi="Arial" w:cs="Arial"/>
        </w:rPr>
      </w:pPr>
    </w:p>
    <w:p w14:paraId="52BAA76A" w14:textId="36F3D8C5" w:rsidR="00D01EE0" w:rsidRPr="00D01EE0" w:rsidRDefault="00D01EE0" w:rsidP="00D01EE0">
      <w:pPr>
        <w:spacing w:after="0" w:line="300" w:lineRule="atLeast"/>
        <w:ind w:left="709"/>
        <w:rPr>
          <w:rFonts w:ascii="Arial" w:hAnsi="Arial" w:cs="Arial"/>
        </w:rPr>
      </w:pPr>
      <w:r w:rsidRPr="00D01EE0">
        <w:rPr>
          <w:rFonts w:ascii="Arial" w:hAnsi="Arial" w:cs="Arial"/>
        </w:rPr>
        <w:t xml:space="preserve">Through the six weeks of public consultation of the Article 4 Direction Evidence Report, and the mechanism of pre-application enquiry. </w:t>
      </w:r>
    </w:p>
    <w:p w14:paraId="5DB5773B" w14:textId="77777777" w:rsidR="00D01EE0" w:rsidRPr="00D01EE0" w:rsidRDefault="00D01EE0" w:rsidP="00D01EE0">
      <w:pPr>
        <w:spacing w:after="0" w:line="300" w:lineRule="atLeast"/>
        <w:ind w:left="709"/>
        <w:rPr>
          <w:rFonts w:ascii="Arial" w:hAnsi="Arial" w:cs="Arial"/>
        </w:rPr>
      </w:pPr>
    </w:p>
    <w:p w14:paraId="15ABF797" w14:textId="77777777" w:rsidR="00D01EE0" w:rsidRPr="00D01EE0" w:rsidRDefault="00D01EE0" w:rsidP="00D01EE0">
      <w:pPr>
        <w:spacing w:after="0" w:line="300" w:lineRule="atLeast"/>
        <w:rPr>
          <w:rFonts w:ascii="Arial" w:hAnsi="Arial" w:cs="Arial"/>
          <w:b/>
        </w:rPr>
      </w:pPr>
      <w:r w:rsidRPr="00D01EE0">
        <w:rPr>
          <w:rFonts w:ascii="Arial" w:hAnsi="Arial" w:cs="Arial"/>
          <w:b/>
        </w:rPr>
        <w:t>3.</w:t>
      </w:r>
      <w:r w:rsidRPr="00D01EE0">
        <w:rPr>
          <w:rFonts w:ascii="Arial" w:hAnsi="Arial" w:cs="Arial"/>
          <w:b/>
        </w:rPr>
        <w:tab/>
        <w:t>Evidence</w:t>
      </w:r>
    </w:p>
    <w:p w14:paraId="01461794" w14:textId="77777777" w:rsidR="00D01EE0" w:rsidRPr="00D01EE0" w:rsidRDefault="00D01EE0" w:rsidP="00D01EE0">
      <w:pPr>
        <w:spacing w:after="0" w:line="300" w:lineRule="atLeast"/>
        <w:rPr>
          <w:rFonts w:ascii="Arial" w:hAnsi="Arial" w:cs="Arial"/>
        </w:rPr>
      </w:pPr>
    </w:p>
    <w:p w14:paraId="79033352" w14:textId="77777777" w:rsidR="00D01EE0" w:rsidRDefault="00D01EE0" w:rsidP="00D01EE0">
      <w:pPr>
        <w:spacing w:after="0" w:line="300" w:lineRule="atLeast"/>
        <w:rPr>
          <w:rFonts w:ascii="Arial" w:hAnsi="Arial" w:cs="Arial"/>
        </w:rPr>
      </w:pPr>
      <w:r w:rsidRPr="00D01EE0">
        <w:rPr>
          <w:rFonts w:ascii="Arial" w:hAnsi="Arial" w:cs="Arial"/>
        </w:rPr>
        <w:t>3.1</w:t>
      </w:r>
      <w:r w:rsidRPr="00D01EE0">
        <w:rPr>
          <w:rFonts w:ascii="Arial" w:hAnsi="Arial" w:cs="Arial"/>
        </w:rPr>
        <w:tab/>
        <w:t>How will you know if the policy delivers its intended outcome / benefits?</w:t>
      </w:r>
    </w:p>
    <w:p w14:paraId="69088747" w14:textId="77777777" w:rsidR="00841801" w:rsidRPr="00D01EE0" w:rsidRDefault="00841801" w:rsidP="00D01EE0">
      <w:pPr>
        <w:spacing w:after="0" w:line="300" w:lineRule="atLeast"/>
        <w:rPr>
          <w:rFonts w:ascii="Arial" w:hAnsi="Arial" w:cs="Arial"/>
        </w:rPr>
      </w:pPr>
    </w:p>
    <w:p w14:paraId="0AD4D797" w14:textId="46E08DF6" w:rsidR="00D01EE0" w:rsidRPr="00D01EE0" w:rsidRDefault="00D01EE0" w:rsidP="00D01EE0">
      <w:pPr>
        <w:spacing w:after="0" w:line="300" w:lineRule="atLeast"/>
        <w:ind w:left="709"/>
        <w:rPr>
          <w:rFonts w:ascii="Arial" w:hAnsi="Arial" w:cs="Arial"/>
        </w:rPr>
      </w:pPr>
      <w:r w:rsidRPr="00D01EE0">
        <w:rPr>
          <w:rFonts w:ascii="Arial" w:hAnsi="Arial" w:cs="Arial"/>
        </w:rPr>
        <w:t xml:space="preserve">Through </w:t>
      </w:r>
      <w:r w:rsidR="002770C7">
        <w:rPr>
          <w:rFonts w:ascii="Arial" w:hAnsi="Arial" w:cs="Arial"/>
        </w:rPr>
        <w:t xml:space="preserve">the Authority </w:t>
      </w:r>
      <w:r w:rsidRPr="00D01EE0">
        <w:rPr>
          <w:rFonts w:ascii="Arial" w:hAnsi="Arial" w:cs="Arial"/>
        </w:rPr>
        <w:t xml:space="preserve">Monitoring Report, and the database of the Council’s Housing Strategy and Council Tax teams. </w:t>
      </w:r>
    </w:p>
    <w:p w14:paraId="225F722E" w14:textId="77777777" w:rsidR="00D01EE0" w:rsidRPr="00D01EE0" w:rsidRDefault="00D01EE0" w:rsidP="00D01EE0">
      <w:pPr>
        <w:spacing w:after="0" w:line="300" w:lineRule="atLeast"/>
        <w:ind w:left="709"/>
        <w:rPr>
          <w:rFonts w:ascii="Arial" w:hAnsi="Arial" w:cs="Arial"/>
        </w:rPr>
      </w:pPr>
    </w:p>
    <w:p w14:paraId="42AC1CA3" w14:textId="77777777" w:rsidR="00D01EE0" w:rsidRDefault="00D01EE0" w:rsidP="00D01EE0">
      <w:pPr>
        <w:spacing w:after="0" w:line="300" w:lineRule="atLeast"/>
        <w:rPr>
          <w:rFonts w:ascii="Arial" w:hAnsi="Arial" w:cs="Arial"/>
        </w:rPr>
      </w:pPr>
      <w:r w:rsidRPr="00D01EE0">
        <w:rPr>
          <w:rFonts w:ascii="Arial" w:hAnsi="Arial" w:cs="Arial"/>
        </w:rPr>
        <w:t>3.2</w:t>
      </w:r>
      <w:r w:rsidRPr="00D01EE0">
        <w:rPr>
          <w:rFonts w:ascii="Arial" w:hAnsi="Arial" w:cs="Arial"/>
        </w:rPr>
        <w:tab/>
        <w:t>How satisfied are your customers and how do you know?</w:t>
      </w:r>
    </w:p>
    <w:p w14:paraId="6E10E412" w14:textId="77777777" w:rsidR="00841801" w:rsidRPr="00D01EE0" w:rsidRDefault="00841801" w:rsidP="00D01EE0">
      <w:pPr>
        <w:spacing w:after="0" w:line="300" w:lineRule="atLeast"/>
        <w:rPr>
          <w:rFonts w:ascii="Arial" w:hAnsi="Arial" w:cs="Arial"/>
        </w:rPr>
      </w:pPr>
    </w:p>
    <w:p w14:paraId="5FD36F75" w14:textId="3127544A" w:rsidR="00D01EE0" w:rsidRPr="00D01EE0" w:rsidRDefault="00841801" w:rsidP="00D01EE0">
      <w:pPr>
        <w:spacing w:after="0" w:line="300" w:lineRule="atLeast"/>
        <w:ind w:left="709"/>
        <w:rPr>
          <w:rFonts w:ascii="Arial" w:hAnsi="Arial" w:cs="Arial"/>
        </w:rPr>
      </w:pPr>
      <w:r>
        <w:rPr>
          <w:rFonts w:ascii="Arial" w:hAnsi="Arial" w:cs="Arial"/>
        </w:rPr>
        <w:t>N/A</w:t>
      </w:r>
      <w:r w:rsidR="00D01EE0" w:rsidRPr="00D01EE0">
        <w:rPr>
          <w:rFonts w:ascii="Arial" w:hAnsi="Arial" w:cs="Arial"/>
        </w:rPr>
        <w:t xml:space="preserve">. </w:t>
      </w:r>
    </w:p>
    <w:p w14:paraId="4D67B7F7" w14:textId="77777777" w:rsidR="00D01EE0" w:rsidRPr="00D01EE0" w:rsidRDefault="00D01EE0" w:rsidP="00D01EE0">
      <w:pPr>
        <w:spacing w:after="0" w:line="300" w:lineRule="atLeast"/>
        <w:ind w:left="709"/>
        <w:rPr>
          <w:rFonts w:ascii="Arial" w:hAnsi="Arial" w:cs="Arial"/>
        </w:rPr>
      </w:pPr>
    </w:p>
    <w:p w14:paraId="1F095E1E" w14:textId="77777777" w:rsidR="00D01EE0" w:rsidRDefault="00D01EE0" w:rsidP="002770C7">
      <w:pPr>
        <w:spacing w:after="0" w:line="300" w:lineRule="atLeast"/>
        <w:ind w:left="709" w:hanging="709"/>
        <w:rPr>
          <w:rFonts w:ascii="Arial" w:hAnsi="Arial" w:cs="Arial"/>
        </w:rPr>
      </w:pPr>
      <w:r w:rsidRPr="00D01EE0">
        <w:rPr>
          <w:rFonts w:ascii="Arial" w:hAnsi="Arial" w:cs="Arial"/>
        </w:rPr>
        <w:t>3.3</w:t>
      </w:r>
      <w:r w:rsidRPr="00D01EE0">
        <w:rPr>
          <w:rFonts w:ascii="Arial" w:hAnsi="Arial" w:cs="Arial"/>
        </w:rPr>
        <w:tab/>
        <w:t>What existing data do you have on the people that use the service and the wider population?</w:t>
      </w:r>
    </w:p>
    <w:p w14:paraId="4D00D325" w14:textId="77777777" w:rsidR="00841801" w:rsidRPr="00D01EE0" w:rsidRDefault="00841801" w:rsidP="002770C7">
      <w:pPr>
        <w:spacing w:after="0" w:line="300" w:lineRule="atLeast"/>
        <w:ind w:left="709" w:hanging="709"/>
        <w:rPr>
          <w:rFonts w:ascii="Arial" w:hAnsi="Arial" w:cs="Arial"/>
        </w:rPr>
      </w:pPr>
    </w:p>
    <w:p w14:paraId="456C6124" w14:textId="71F7CF51" w:rsidR="00D01EE0" w:rsidRPr="00D01EE0" w:rsidRDefault="00841801" w:rsidP="00D01EE0">
      <w:pPr>
        <w:spacing w:after="0" w:line="300" w:lineRule="atLeast"/>
        <w:ind w:left="709"/>
        <w:rPr>
          <w:rFonts w:ascii="Arial" w:hAnsi="Arial" w:cs="Arial"/>
        </w:rPr>
      </w:pPr>
      <w:r>
        <w:rPr>
          <w:rFonts w:ascii="Arial" w:hAnsi="Arial" w:cs="Arial"/>
        </w:rPr>
        <w:t>N/A</w:t>
      </w:r>
    </w:p>
    <w:p w14:paraId="69D77D6A" w14:textId="77777777" w:rsidR="00D01EE0" w:rsidRPr="00D01EE0" w:rsidRDefault="00D01EE0" w:rsidP="00D01EE0">
      <w:pPr>
        <w:spacing w:after="0" w:line="300" w:lineRule="atLeast"/>
        <w:ind w:left="709"/>
        <w:rPr>
          <w:rFonts w:ascii="Arial" w:hAnsi="Arial" w:cs="Arial"/>
        </w:rPr>
      </w:pPr>
    </w:p>
    <w:p w14:paraId="0AF33576" w14:textId="77777777" w:rsidR="00D01EE0" w:rsidRDefault="00D01EE0" w:rsidP="00D01EE0">
      <w:pPr>
        <w:spacing w:after="0" w:line="300" w:lineRule="atLeast"/>
        <w:rPr>
          <w:rFonts w:ascii="Arial" w:hAnsi="Arial" w:cs="Arial"/>
        </w:rPr>
      </w:pPr>
      <w:r w:rsidRPr="00D01EE0">
        <w:rPr>
          <w:rFonts w:ascii="Arial" w:hAnsi="Arial" w:cs="Arial"/>
        </w:rPr>
        <w:t>3.4</w:t>
      </w:r>
      <w:r w:rsidRPr="00D01EE0">
        <w:rPr>
          <w:rFonts w:ascii="Arial" w:hAnsi="Arial" w:cs="Arial"/>
        </w:rPr>
        <w:tab/>
        <w:t>What other information would it be useful to have?  How could you get this?</w:t>
      </w:r>
    </w:p>
    <w:p w14:paraId="0D59219F" w14:textId="77777777" w:rsidR="00841801" w:rsidRPr="00D01EE0" w:rsidRDefault="00841801" w:rsidP="00D01EE0">
      <w:pPr>
        <w:spacing w:after="0" w:line="300" w:lineRule="atLeast"/>
        <w:rPr>
          <w:rFonts w:ascii="Arial" w:hAnsi="Arial" w:cs="Arial"/>
        </w:rPr>
      </w:pPr>
    </w:p>
    <w:p w14:paraId="2F569D33" w14:textId="77777777" w:rsidR="00D01EE0" w:rsidRPr="00D01EE0" w:rsidRDefault="00D01EE0" w:rsidP="00D01EE0">
      <w:pPr>
        <w:spacing w:after="0" w:line="300" w:lineRule="atLeast"/>
        <w:ind w:left="709"/>
        <w:rPr>
          <w:rFonts w:ascii="Arial" w:hAnsi="Arial" w:cs="Arial"/>
        </w:rPr>
      </w:pPr>
      <w:r w:rsidRPr="00D01EE0">
        <w:rPr>
          <w:rFonts w:ascii="Arial" w:hAnsi="Arial" w:cs="Arial"/>
        </w:rPr>
        <w:t xml:space="preserve">More accurate mapping data of the existing HMOs in the Borough. The accurate mapping data would require regular updates from the Council’s Housing Standards and Council Tax teams. </w:t>
      </w:r>
    </w:p>
    <w:p w14:paraId="28D9833F" w14:textId="77777777" w:rsidR="00D01EE0" w:rsidRPr="00D01EE0" w:rsidRDefault="00D01EE0" w:rsidP="00D01EE0">
      <w:pPr>
        <w:spacing w:after="0" w:line="300" w:lineRule="atLeast"/>
        <w:ind w:left="709"/>
        <w:rPr>
          <w:rFonts w:ascii="Arial" w:hAnsi="Arial" w:cs="Arial"/>
        </w:rPr>
      </w:pPr>
    </w:p>
    <w:p w14:paraId="3B8CD9EF" w14:textId="77777777" w:rsidR="00D01EE0" w:rsidRDefault="00D01EE0" w:rsidP="00D01EE0">
      <w:pPr>
        <w:spacing w:after="0" w:line="300" w:lineRule="atLeast"/>
        <w:ind w:left="709" w:hanging="709"/>
        <w:rPr>
          <w:rFonts w:ascii="Arial" w:hAnsi="Arial" w:cs="Arial"/>
        </w:rPr>
      </w:pPr>
      <w:r w:rsidRPr="00D01EE0">
        <w:rPr>
          <w:rFonts w:ascii="Arial" w:hAnsi="Arial" w:cs="Arial"/>
        </w:rPr>
        <w:t>3.5</w:t>
      </w:r>
      <w:r w:rsidRPr="00D01EE0">
        <w:rPr>
          <w:rFonts w:ascii="Arial" w:hAnsi="Arial" w:cs="Arial"/>
        </w:rPr>
        <w:tab/>
        <w:t>Are you breaking down data by equality groups where relevant (such as by gender, age, disability, ethnicity, sexual orientation, marital status, religion and belief, pregnancy and maternity)?</w:t>
      </w:r>
    </w:p>
    <w:p w14:paraId="4D8E695F" w14:textId="77777777" w:rsidR="00841801" w:rsidRPr="00D01EE0" w:rsidRDefault="00841801" w:rsidP="00D01EE0">
      <w:pPr>
        <w:spacing w:after="0" w:line="300" w:lineRule="atLeast"/>
        <w:ind w:left="709" w:hanging="709"/>
        <w:rPr>
          <w:rFonts w:ascii="Arial" w:hAnsi="Arial" w:cs="Arial"/>
        </w:rPr>
      </w:pPr>
    </w:p>
    <w:p w14:paraId="25917BB2" w14:textId="77777777" w:rsidR="00D01EE0" w:rsidRPr="00D01EE0" w:rsidRDefault="00D01EE0" w:rsidP="00D01EE0">
      <w:pPr>
        <w:spacing w:after="0" w:line="300" w:lineRule="atLeast"/>
        <w:ind w:left="709"/>
        <w:rPr>
          <w:rFonts w:ascii="Arial" w:hAnsi="Arial" w:cs="Arial"/>
        </w:rPr>
      </w:pPr>
      <w:r w:rsidRPr="00D01EE0">
        <w:rPr>
          <w:rFonts w:ascii="Arial" w:hAnsi="Arial" w:cs="Arial"/>
        </w:rPr>
        <w:t>No.</w:t>
      </w:r>
    </w:p>
    <w:p w14:paraId="59431548" w14:textId="77777777" w:rsidR="00D01EE0" w:rsidRPr="00D01EE0" w:rsidRDefault="00D01EE0" w:rsidP="00D01EE0">
      <w:pPr>
        <w:spacing w:after="0" w:line="300" w:lineRule="atLeast"/>
        <w:rPr>
          <w:rFonts w:ascii="Arial" w:hAnsi="Arial" w:cs="Arial"/>
        </w:rPr>
      </w:pPr>
    </w:p>
    <w:p w14:paraId="7D945F24" w14:textId="77777777" w:rsidR="00D01EE0" w:rsidRPr="00D01EE0" w:rsidRDefault="00D01EE0" w:rsidP="00DB25B0">
      <w:pPr>
        <w:spacing w:after="0" w:line="300" w:lineRule="atLeast"/>
        <w:ind w:left="709" w:hanging="709"/>
        <w:rPr>
          <w:rFonts w:ascii="Arial" w:hAnsi="Arial" w:cs="Arial"/>
        </w:rPr>
      </w:pPr>
      <w:r w:rsidRPr="00D01EE0">
        <w:rPr>
          <w:rFonts w:ascii="Arial" w:hAnsi="Arial" w:cs="Arial"/>
        </w:rPr>
        <w:t>3.6</w:t>
      </w:r>
      <w:r w:rsidRPr="00D01EE0">
        <w:rPr>
          <w:rFonts w:ascii="Arial" w:hAnsi="Arial" w:cs="Arial"/>
        </w:rPr>
        <w:tab/>
        <w:t>Are you using partners, stakeholders, and councillors to get information and feedback?</w:t>
      </w:r>
    </w:p>
    <w:p w14:paraId="174F3C62" w14:textId="77777777" w:rsidR="00841801" w:rsidRDefault="00841801" w:rsidP="00D01EE0">
      <w:pPr>
        <w:spacing w:after="0" w:line="300" w:lineRule="atLeast"/>
        <w:ind w:left="709"/>
        <w:rPr>
          <w:rFonts w:ascii="Arial" w:hAnsi="Arial" w:cs="Arial"/>
        </w:rPr>
      </w:pPr>
    </w:p>
    <w:p w14:paraId="4012EF2D" w14:textId="22260FE3" w:rsidR="00D01EE0" w:rsidRPr="00D01EE0" w:rsidRDefault="00D01EE0" w:rsidP="00D01EE0">
      <w:pPr>
        <w:spacing w:after="0" w:line="300" w:lineRule="atLeast"/>
        <w:ind w:left="709"/>
        <w:rPr>
          <w:rFonts w:ascii="Arial" w:hAnsi="Arial" w:cs="Arial"/>
        </w:rPr>
      </w:pPr>
      <w:r w:rsidRPr="00D01EE0">
        <w:rPr>
          <w:rFonts w:ascii="Arial" w:hAnsi="Arial" w:cs="Arial"/>
        </w:rPr>
        <w:t>Yes</w:t>
      </w:r>
      <w:r w:rsidR="00841801">
        <w:rPr>
          <w:rFonts w:ascii="Arial" w:hAnsi="Arial" w:cs="Arial"/>
        </w:rPr>
        <w:t>, through the consultation process.</w:t>
      </w:r>
    </w:p>
    <w:p w14:paraId="316E5802" w14:textId="77777777" w:rsidR="00D01EE0" w:rsidRPr="00D01EE0" w:rsidRDefault="00D01EE0" w:rsidP="00D01EE0">
      <w:pPr>
        <w:spacing w:after="0" w:line="300" w:lineRule="atLeast"/>
        <w:rPr>
          <w:rFonts w:ascii="Arial" w:hAnsi="Arial" w:cs="Arial"/>
        </w:rPr>
      </w:pPr>
    </w:p>
    <w:p w14:paraId="71330337" w14:textId="77777777" w:rsidR="00D01EE0" w:rsidRPr="00D01EE0" w:rsidRDefault="00D01EE0" w:rsidP="00D01EE0">
      <w:pPr>
        <w:spacing w:after="0" w:line="300" w:lineRule="atLeast"/>
        <w:rPr>
          <w:rFonts w:ascii="Arial" w:hAnsi="Arial" w:cs="Arial"/>
          <w:b/>
        </w:rPr>
      </w:pPr>
      <w:r w:rsidRPr="00D01EE0">
        <w:rPr>
          <w:rFonts w:ascii="Arial" w:hAnsi="Arial" w:cs="Arial"/>
          <w:b/>
        </w:rPr>
        <w:t>4.</w:t>
      </w:r>
      <w:r w:rsidRPr="00D01EE0">
        <w:rPr>
          <w:rFonts w:ascii="Arial" w:hAnsi="Arial" w:cs="Arial"/>
          <w:b/>
        </w:rPr>
        <w:tab/>
        <w:t>Impact</w:t>
      </w:r>
    </w:p>
    <w:p w14:paraId="4D0F418D" w14:textId="77777777" w:rsidR="00D01EE0" w:rsidRPr="00D01EE0" w:rsidRDefault="00D01EE0" w:rsidP="00D01EE0">
      <w:pPr>
        <w:spacing w:after="0" w:line="300" w:lineRule="atLeast"/>
        <w:rPr>
          <w:rFonts w:ascii="Arial" w:hAnsi="Arial" w:cs="Arial"/>
        </w:rPr>
      </w:pPr>
    </w:p>
    <w:p w14:paraId="5D529FB4" w14:textId="77777777" w:rsidR="00D01EE0" w:rsidRDefault="00D01EE0" w:rsidP="00D01EE0">
      <w:pPr>
        <w:spacing w:after="0" w:line="300" w:lineRule="atLeast"/>
        <w:rPr>
          <w:rFonts w:ascii="Arial" w:hAnsi="Arial" w:cs="Arial"/>
        </w:rPr>
      </w:pPr>
      <w:r w:rsidRPr="00D01EE0">
        <w:rPr>
          <w:rFonts w:ascii="Arial" w:hAnsi="Arial" w:cs="Arial"/>
        </w:rPr>
        <w:t>4.1</w:t>
      </w:r>
      <w:r w:rsidRPr="00D01EE0">
        <w:rPr>
          <w:rFonts w:ascii="Arial" w:hAnsi="Arial" w:cs="Arial"/>
        </w:rPr>
        <w:tab/>
        <w:t>Are some people benefiting more – or less - than others?  If so, why might this be?</w:t>
      </w:r>
    </w:p>
    <w:p w14:paraId="05B260EE" w14:textId="77777777" w:rsidR="00841801" w:rsidRPr="00D01EE0" w:rsidRDefault="00841801" w:rsidP="00D01EE0">
      <w:pPr>
        <w:spacing w:after="0" w:line="300" w:lineRule="atLeast"/>
        <w:rPr>
          <w:rFonts w:ascii="Arial" w:hAnsi="Arial" w:cs="Arial"/>
        </w:rPr>
      </w:pPr>
    </w:p>
    <w:p w14:paraId="45C5A24B" w14:textId="3B622150" w:rsidR="00D01EE0" w:rsidRPr="00D01EE0" w:rsidRDefault="00841801" w:rsidP="00D01EE0">
      <w:pPr>
        <w:spacing w:after="0" w:line="300" w:lineRule="atLeast"/>
        <w:ind w:left="720"/>
        <w:rPr>
          <w:rFonts w:ascii="Arial" w:hAnsi="Arial" w:cs="Arial"/>
        </w:rPr>
      </w:pPr>
      <w:r>
        <w:rPr>
          <w:rFonts w:ascii="Arial" w:hAnsi="Arial" w:cs="Arial"/>
        </w:rPr>
        <w:t xml:space="preserve">The </w:t>
      </w:r>
      <w:r w:rsidR="00D01EE0" w:rsidRPr="00D01EE0">
        <w:rPr>
          <w:rFonts w:ascii="Arial" w:hAnsi="Arial" w:cs="Arial"/>
        </w:rPr>
        <w:t>Article 4 Direction would benefi</w:t>
      </w:r>
      <w:r w:rsidR="002770C7">
        <w:rPr>
          <w:rFonts w:ascii="Arial" w:hAnsi="Arial" w:cs="Arial"/>
        </w:rPr>
        <w:t>t</w:t>
      </w:r>
      <w:r w:rsidR="00D01EE0" w:rsidRPr="00D01EE0">
        <w:rPr>
          <w:rFonts w:ascii="Arial" w:hAnsi="Arial" w:cs="Arial"/>
        </w:rPr>
        <w:t xml:space="preserve"> </w:t>
      </w:r>
      <w:r w:rsidR="002770C7">
        <w:rPr>
          <w:rFonts w:ascii="Arial" w:hAnsi="Arial" w:cs="Arial"/>
        </w:rPr>
        <w:t xml:space="preserve">the </w:t>
      </w:r>
      <w:r w:rsidR="00D01EE0" w:rsidRPr="00D01EE0">
        <w:rPr>
          <w:rFonts w:ascii="Arial" w:hAnsi="Arial" w:cs="Arial"/>
        </w:rPr>
        <w:t xml:space="preserve">wellbeing and amenity of local communities. The outcome/impact of the Article 4 Direction will be reviewed annually through the </w:t>
      </w:r>
      <w:r w:rsidR="002770C7">
        <w:rPr>
          <w:rFonts w:ascii="Arial" w:hAnsi="Arial" w:cs="Arial"/>
        </w:rPr>
        <w:t>Authority</w:t>
      </w:r>
      <w:r w:rsidR="00D01EE0" w:rsidRPr="00D01EE0">
        <w:rPr>
          <w:rFonts w:ascii="Arial" w:hAnsi="Arial" w:cs="Arial"/>
        </w:rPr>
        <w:t xml:space="preserve"> Monitoring Report. </w:t>
      </w:r>
    </w:p>
    <w:p w14:paraId="49EFF249" w14:textId="77777777" w:rsidR="00D01EE0" w:rsidRPr="00D01EE0" w:rsidRDefault="00D01EE0" w:rsidP="00D01EE0">
      <w:pPr>
        <w:spacing w:after="0" w:line="300" w:lineRule="atLeast"/>
        <w:rPr>
          <w:rFonts w:ascii="Arial" w:hAnsi="Arial" w:cs="Arial"/>
        </w:rPr>
      </w:pPr>
    </w:p>
    <w:p w14:paraId="152EA899" w14:textId="77777777" w:rsidR="00D01EE0" w:rsidRPr="00D01EE0" w:rsidRDefault="00D01EE0" w:rsidP="00D01EE0">
      <w:pPr>
        <w:spacing w:after="0" w:line="300" w:lineRule="atLeast"/>
        <w:rPr>
          <w:rFonts w:ascii="Arial" w:hAnsi="Arial" w:cs="Arial"/>
          <w:b/>
        </w:rPr>
      </w:pPr>
      <w:r w:rsidRPr="00D01EE0">
        <w:rPr>
          <w:rFonts w:ascii="Arial" w:hAnsi="Arial" w:cs="Arial"/>
          <w:b/>
        </w:rPr>
        <w:t>5.</w:t>
      </w:r>
      <w:r w:rsidRPr="00D01EE0">
        <w:rPr>
          <w:rFonts w:ascii="Arial" w:hAnsi="Arial" w:cs="Arial"/>
          <w:b/>
        </w:rPr>
        <w:tab/>
        <w:t>Actions</w:t>
      </w:r>
    </w:p>
    <w:p w14:paraId="3A06B366" w14:textId="77777777" w:rsidR="00D01EE0" w:rsidRPr="00D01EE0" w:rsidRDefault="00D01EE0" w:rsidP="00D01EE0">
      <w:pPr>
        <w:spacing w:after="0" w:line="300" w:lineRule="atLeast"/>
        <w:rPr>
          <w:rFonts w:ascii="Arial" w:hAnsi="Arial" w:cs="Arial"/>
        </w:rPr>
      </w:pPr>
    </w:p>
    <w:p w14:paraId="2E1D2447" w14:textId="77777777" w:rsidR="00D01EE0" w:rsidRDefault="00D01EE0" w:rsidP="00D01EE0">
      <w:pPr>
        <w:spacing w:after="0" w:line="300" w:lineRule="atLeast"/>
        <w:ind w:left="709" w:hanging="709"/>
        <w:rPr>
          <w:rFonts w:ascii="Arial" w:hAnsi="Arial" w:cs="Arial"/>
        </w:rPr>
      </w:pPr>
      <w:r w:rsidRPr="00D01EE0">
        <w:rPr>
          <w:rFonts w:ascii="Arial" w:hAnsi="Arial" w:cs="Arial"/>
        </w:rPr>
        <w:t>5.1</w:t>
      </w:r>
      <w:r w:rsidRPr="00D01EE0">
        <w:rPr>
          <w:rFonts w:ascii="Arial" w:hAnsi="Arial" w:cs="Arial"/>
        </w:rPr>
        <w:tab/>
        <w:t>If the evidence suggests that the policy / service / function benefits a particular group – or disadvantages another - is there a justifiable reason for this and if so, what is it?</w:t>
      </w:r>
    </w:p>
    <w:p w14:paraId="55172E71" w14:textId="77777777" w:rsidR="00841801" w:rsidRPr="00D01EE0" w:rsidRDefault="00841801" w:rsidP="00D01EE0">
      <w:pPr>
        <w:spacing w:after="0" w:line="300" w:lineRule="atLeast"/>
        <w:ind w:left="709" w:hanging="709"/>
        <w:rPr>
          <w:rFonts w:ascii="Arial" w:hAnsi="Arial" w:cs="Arial"/>
        </w:rPr>
      </w:pPr>
    </w:p>
    <w:p w14:paraId="2F057190" w14:textId="01ACD0CA" w:rsidR="00D01EE0" w:rsidRPr="00D01EE0" w:rsidRDefault="00D01EE0" w:rsidP="00D01EE0">
      <w:pPr>
        <w:spacing w:after="0" w:line="300" w:lineRule="atLeast"/>
        <w:ind w:left="709"/>
        <w:rPr>
          <w:rFonts w:ascii="Arial" w:hAnsi="Arial" w:cs="Arial"/>
        </w:rPr>
      </w:pPr>
      <w:r w:rsidRPr="00D01EE0">
        <w:rPr>
          <w:rFonts w:ascii="Arial" w:hAnsi="Arial" w:cs="Arial"/>
        </w:rPr>
        <w:t xml:space="preserve">It could potentially disadvantage landlords with a portfolio of properties (with the potential to be converted to small HMOs) in the </w:t>
      </w:r>
      <w:r w:rsidR="002770C7">
        <w:rPr>
          <w:rFonts w:ascii="Arial" w:hAnsi="Arial" w:cs="Arial"/>
        </w:rPr>
        <w:t>W</w:t>
      </w:r>
      <w:r w:rsidRPr="00D01EE0">
        <w:rPr>
          <w:rFonts w:ascii="Arial" w:hAnsi="Arial" w:cs="Arial"/>
        </w:rPr>
        <w:t xml:space="preserve">ards affected by the Article 4 Direction. </w:t>
      </w:r>
    </w:p>
    <w:p w14:paraId="7EE27CDF" w14:textId="77777777" w:rsidR="00D01EE0" w:rsidRPr="00D01EE0" w:rsidRDefault="00D01EE0" w:rsidP="00D01EE0">
      <w:pPr>
        <w:spacing w:after="0" w:line="300" w:lineRule="atLeast"/>
        <w:ind w:left="709"/>
        <w:rPr>
          <w:rFonts w:ascii="Arial" w:hAnsi="Arial" w:cs="Arial"/>
        </w:rPr>
      </w:pPr>
    </w:p>
    <w:p w14:paraId="51DD75DD" w14:textId="77777777" w:rsidR="00D01EE0" w:rsidRDefault="00D01EE0" w:rsidP="00D01EE0">
      <w:pPr>
        <w:spacing w:after="0" w:line="300" w:lineRule="atLeast"/>
        <w:rPr>
          <w:rFonts w:ascii="Arial" w:hAnsi="Arial" w:cs="Arial"/>
        </w:rPr>
      </w:pPr>
      <w:r w:rsidRPr="00D01EE0">
        <w:rPr>
          <w:rFonts w:ascii="Arial" w:hAnsi="Arial" w:cs="Arial"/>
        </w:rPr>
        <w:t>5.2</w:t>
      </w:r>
      <w:r w:rsidRPr="00D01EE0">
        <w:rPr>
          <w:rFonts w:ascii="Arial" w:hAnsi="Arial" w:cs="Arial"/>
        </w:rPr>
        <w:tab/>
        <w:t>Is it discriminatory in any way?</w:t>
      </w:r>
    </w:p>
    <w:p w14:paraId="201E93E3" w14:textId="77777777" w:rsidR="00841801" w:rsidRPr="00D01EE0" w:rsidRDefault="00841801" w:rsidP="00D01EE0">
      <w:pPr>
        <w:spacing w:after="0" w:line="300" w:lineRule="atLeast"/>
        <w:rPr>
          <w:rFonts w:ascii="Arial" w:hAnsi="Arial" w:cs="Arial"/>
        </w:rPr>
      </w:pPr>
    </w:p>
    <w:p w14:paraId="37FF8D0E" w14:textId="77777777" w:rsidR="00D01EE0" w:rsidRPr="00D01EE0" w:rsidRDefault="00D01EE0" w:rsidP="00D01EE0">
      <w:pPr>
        <w:spacing w:after="0" w:line="300" w:lineRule="atLeast"/>
        <w:ind w:left="709"/>
        <w:rPr>
          <w:rFonts w:ascii="Arial" w:hAnsi="Arial" w:cs="Arial"/>
        </w:rPr>
      </w:pPr>
      <w:r w:rsidRPr="00D01EE0">
        <w:rPr>
          <w:rFonts w:ascii="Arial" w:hAnsi="Arial" w:cs="Arial"/>
        </w:rPr>
        <w:t>There is no evidence to suggest it will be. The changes are intended to benefit residents of existing communities by protecting the amenity of local communities and the availability of family dwellings.</w:t>
      </w:r>
    </w:p>
    <w:p w14:paraId="61D32FE5" w14:textId="77777777" w:rsidR="00D01EE0" w:rsidRPr="00D01EE0" w:rsidRDefault="00D01EE0" w:rsidP="00D01EE0">
      <w:pPr>
        <w:spacing w:after="0" w:line="300" w:lineRule="atLeast"/>
        <w:ind w:left="709"/>
        <w:rPr>
          <w:rFonts w:ascii="Arial" w:hAnsi="Arial" w:cs="Arial"/>
        </w:rPr>
      </w:pPr>
    </w:p>
    <w:p w14:paraId="7DE14DE9" w14:textId="77777777" w:rsidR="00D01EE0" w:rsidRDefault="00D01EE0" w:rsidP="00D01EE0">
      <w:pPr>
        <w:spacing w:after="0" w:line="300" w:lineRule="atLeast"/>
        <w:ind w:left="709" w:hanging="709"/>
        <w:rPr>
          <w:rFonts w:ascii="Arial" w:hAnsi="Arial" w:cs="Arial"/>
        </w:rPr>
      </w:pPr>
      <w:r w:rsidRPr="00D01EE0">
        <w:rPr>
          <w:rFonts w:ascii="Arial" w:hAnsi="Arial" w:cs="Arial"/>
        </w:rPr>
        <w:t>5.3</w:t>
      </w:r>
      <w:r w:rsidRPr="00D01EE0">
        <w:rPr>
          <w:rFonts w:ascii="Arial" w:hAnsi="Arial" w:cs="Arial"/>
        </w:rPr>
        <w:tab/>
        <w:t>Is there a possible impact in relationships or perceptions between different parts of the community?</w:t>
      </w:r>
    </w:p>
    <w:p w14:paraId="66C11CD6" w14:textId="77777777" w:rsidR="00841801" w:rsidRPr="00D01EE0" w:rsidRDefault="00841801" w:rsidP="00D01EE0">
      <w:pPr>
        <w:spacing w:after="0" w:line="300" w:lineRule="atLeast"/>
        <w:ind w:left="709" w:hanging="709"/>
        <w:rPr>
          <w:rFonts w:ascii="Arial" w:hAnsi="Arial" w:cs="Arial"/>
        </w:rPr>
      </w:pPr>
    </w:p>
    <w:p w14:paraId="4776EF29" w14:textId="316BE192" w:rsidR="00D01EE0" w:rsidRPr="00D01EE0" w:rsidRDefault="00D01EE0" w:rsidP="00D01EE0">
      <w:pPr>
        <w:spacing w:after="0" w:line="300" w:lineRule="atLeast"/>
        <w:ind w:left="709"/>
        <w:rPr>
          <w:rFonts w:ascii="Arial" w:hAnsi="Arial" w:cs="Arial"/>
        </w:rPr>
      </w:pPr>
      <w:r w:rsidRPr="00D01EE0">
        <w:rPr>
          <w:rFonts w:ascii="Arial" w:hAnsi="Arial" w:cs="Arial"/>
        </w:rPr>
        <w:t>It isn’t envisaged</w:t>
      </w:r>
      <w:r w:rsidR="00841801">
        <w:rPr>
          <w:rFonts w:ascii="Arial" w:hAnsi="Arial" w:cs="Arial"/>
        </w:rPr>
        <w:t>,</w:t>
      </w:r>
      <w:r w:rsidRPr="00D01EE0">
        <w:rPr>
          <w:rFonts w:ascii="Arial" w:hAnsi="Arial" w:cs="Arial"/>
        </w:rPr>
        <w:t xml:space="preserve"> but if evidence suggests otherwise then it will be reviewed.</w:t>
      </w:r>
    </w:p>
    <w:p w14:paraId="38C1DA20" w14:textId="77777777" w:rsidR="00D01EE0" w:rsidRPr="00D01EE0" w:rsidRDefault="00D01EE0" w:rsidP="00D01EE0">
      <w:pPr>
        <w:spacing w:after="0" w:line="300" w:lineRule="atLeast"/>
        <w:ind w:left="709"/>
        <w:rPr>
          <w:rFonts w:ascii="Arial" w:hAnsi="Arial" w:cs="Arial"/>
        </w:rPr>
      </w:pPr>
    </w:p>
    <w:p w14:paraId="7FD9DC7B" w14:textId="77777777" w:rsidR="00D01EE0" w:rsidRDefault="00D01EE0" w:rsidP="00D01EE0">
      <w:pPr>
        <w:spacing w:after="0" w:line="300" w:lineRule="atLeast"/>
        <w:rPr>
          <w:rFonts w:ascii="Arial" w:hAnsi="Arial" w:cs="Arial"/>
        </w:rPr>
      </w:pPr>
      <w:r w:rsidRPr="00D01EE0">
        <w:rPr>
          <w:rFonts w:ascii="Arial" w:hAnsi="Arial" w:cs="Arial"/>
        </w:rPr>
        <w:t>5.4</w:t>
      </w:r>
      <w:r w:rsidRPr="00D01EE0">
        <w:rPr>
          <w:rFonts w:ascii="Arial" w:hAnsi="Arial" w:cs="Arial"/>
        </w:rPr>
        <w:tab/>
        <w:t>What measures can you put in place to reduce disadvantages?</w:t>
      </w:r>
    </w:p>
    <w:p w14:paraId="6CF740EA" w14:textId="77777777" w:rsidR="00841801" w:rsidRPr="00D01EE0" w:rsidRDefault="00841801" w:rsidP="00D01EE0">
      <w:pPr>
        <w:spacing w:after="0" w:line="300" w:lineRule="atLeast"/>
        <w:rPr>
          <w:rFonts w:ascii="Arial" w:hAnsi="Arial" w:cs="Arial"/>
        </w:rPr>
      </w:pPr>
    </w:p>
    <w:p w14:paraId="63EC593C" w14:textId="77777777" w:rsidR="00D01EE0" w:rsidRPr="00D01EE0" w:rsidRDefault="00D01EE0" w:rsidP="00D01EE0">
      <w:pPr>
        <w:spacing w:after="0" w:line="300" w:lineRule="atLeast"/>
        <w:ind w:left="720"/>
        <w:rPr>
          <w:rFonts w:ascii="Arial" w:hAnsi="Arial" w:cs="Arial"/>
        </w:rPr>
      </w:pPr>
      <w:r w:rsidRPr="00D01EE0">
        <w:rPr>
          <w:rFonts w:ascii="Arial" w:hAnsi="Arial" w:cs="Arial"/>
        </w:rPr>
        <w:t>Provision of clear information on the Council’s planning webpage to raise the awareness of all sectors of the community.</w:t>
      </w:r>
    </w:p>
    <w:p w14:paraId="7D284B0E" w14:textId="77777777" w:rsidR="00D01EE0" w:rsidRPr="00D01EE0" w:rsidRDefault="00D01EE0" w:rsidP="00D01EE0">
      <w:pPr>
        <w:spacing w:after="0" w:line="300" w:lineRule="atLeast"/>
        <w:ind w:left="720"/>
        <w:rPr>
          <w:rFonts w:ascii="Arial" w:hAnsi="Arial" w:cs="Arial"/>
        </w:rPr>
      </w:pPr>
    </w:p>
    <w:p w14:paraId="0DD44662" w14:textId="77777777" w:rsidR="00D01EE0" w:rsidRDefault="00D01EE0" w:rsidP="00D01EE0">
      <w:pPr>
        <w:spacing w:after="0" w:line="300" w:lineRule="atLeast"/>
        <w:rPr>
          <w:rFonts w:ascii="Arial" w:hAnsi="Arial" w:cs="Arial"/>
        </w:rPr>
      </w:pPr>
      <w:r w:rsidRPr="00D01EE0">
        <w:rPr>
          <w:rFonts w:ascii="Arial" w:hAnsi="Arial" w:cs="Arial"/>
        </w:rPr>
        <w:t>5.5</w:t>
      </w:r>
      <w:r w:rsidRPr="00D01EE0">
        <w:rPr>
          <w:rFonts w:ascii="Arial" w:hAnsi="Arial" w:cs="Arial"/>
        </w:rPr>
        <w:tab/>
        <w:t>Do you need to consult further?</w:t>
      </w:r>
    </w:p>
    <w:p w14:paraId="75E57CC6" w14:textId="77777777" w:rsidR="00841801" w:rsidRPr="00D01EE0" w:rsidRDefault="00841801" w:rsidP="00D01EE0">
      <w:pPr>
        <w:spacing w:after="0" w:line="300" w:lineRule="atLeast"/>
        <w:rPr>
          <w:rFonts w:ascii="Arial" w:hAnsi="Arial" w:cs="Arial"/>
        </w:rPr>
      </w:pPr>
    </w:p>
    <w:p w14:paraId="239CDF77" w14:textId="14975FF9" w:rsidR="00D01EE0" w:rsidRPr="00D01EE0" w:rsidRDefault="00D01EE0" w:rsidP="00D01EE0">
      <w:pPr>
        <w:spacing w:after="0" w:line="300" w:lineRule="atLeast"/>
        <w:ind w:left="709"/>
        <w:rPr>
          <w:rFonts w:ascii="Arial" w:hAnsi="Arial" w:cs="Arial"/>
        </w:rPr>
      </w:pPr>
      <w:r w:rsidRPr="00D01EE0">
        <w:rPr>
          <w:rFonts w:ascii="Arial" w:hAnsi="Arial" w:cs="Arial"/>
        </w:rPr>
        <w:t xml:space="preserve">Six weeks consultation following approval by the Cabinet </w:t>
      </w:r>
    </w:p>
    <w:p w14:paraId="5435A51B" w14:textId="77777777" w:rsidR="00D01EE0" w:rsidRPr="00D01EE0" w:rsidRDefault="00D01EE0" w:rsidP="00D01EE0">
      <w:pPr>
        <w:spacing w:after="0" w:line="300" w:lineRule="atLeast"/>
        <w:ind w:left="709"/>
        <w:rPr>
          <w:rFonts w:ascii="Arial" w:hAnsi="Arial" w:cs="Arial"/>
        </w:rPr>
      </w:pPr>
    </w:p>
    <w:p w14:paraId="290BE496" w14:textId="77777777" w:rsidR="00D01EE0" w:rsidRDefault="00D01EE0" w:rsidP="00D01EE0">
      <w:pPr>
        <w:spacing w:after="0" w:line="300" w:lineRule="atLeast"/>
        <w:rPr>
          <w:rFonts w:ascii="Arial" w:hAnsi="Arial" w:cs="Arial"/>
        </w:rPr>
      </w:pPr>
      <w:r w:rsidRPr="00D01EE0">
        <w:rPr>
          <w:rFonts w:ascii="Arial" w:hAnsi="Arial" w:cs="Arial"/>
        </w:rPr>
        <w:t>5.6</w:t>
      </w:r>
      <w:r w:rsidRPr="00D01EE0">
        <w:rPr>
          <w:rFonts w:ascii="Arial" w:hAnsi="Arial" w:cs="Arial"/>
        </w:rPr>
        <w:tab/>
        <w:t>Have you identified any potential improvements to customer service?</w:t>
      </w:r>
    </w:p>
    <w:p w14:paraId="3967E6DB" w14:textId="77777777" w:rsidR="00841801" w:rsidRPr="00D01EE0" w:rsidRDefault="00841801" w:rsidP="00D01EE0">
      <w:pPr>
        <w:spacing w:after="0" w:line="300" w:lineRule="atLeast"/>
        <w:rPr>
          <w:rFonts w:ascii="Arial" w:hAnsi="Arial" w:cs="Arial"/>
        </w:rPr>
      </w:pPr>
    </w:p>
    <w:p w14:paraId="484D17EC" w14:textId="77777777" w:rsidR="00D01EE0" w:rsidRPr="00D01EE0" w:rsidRDefault="00D01EE0" w:rsidP="00D01EE0">
      <w:pPr>
        <w:spacing w:after="0" w:line="300" w:lineRule="atLeast"/>
        <w:ind w:left="709"/>
        <w:rPr>
          <w:rFonts w:ascii="Arial" w:hAnsi="Arial" w:cs="Arial"/>
        </w:rPr>
      </w:pPr>
      <w:r w:rsidRPr="00D01EE0">
        <w:rPr>
          <w:rFonts w:ascii="Arial" w:hAnsi="Arial" w:cs="Arial"/>
        </w:rPr>
        <w:t>No.</w:t>
      </w:r>
    </w:p>
    <w:p w14:paraId="509B92DF" w14:textId="77777777" w:rsidR="00D01EE0" w:rsidRPr="00D01EE0" w:rsidRDefault="00D01EE0" w:rsidP="00D01EE0">
      <w:pPr>
        <w:spacing w:after="0" w:line="300" w:lineRule="atLeast"/>
        <w:ind w:left="709"/>
        <w:rPr>
          <w:rFonts w:ascii="Arial" w:hAnsi="Arial" w:cs="Arial"/>
        </w:rPr>
      </w:pPr>
    </w:p>
    <w:p w14:paraId="7B5E628E" w14:textId="77777777" w:rsidR="00D01EE0" w:rsidRDefault="00D01EE0" w:rsidP="00D01EE0">
      <w:pPr>
        <w:spacing w:after="0" w:line="300" w:lineRule="atLeast"/>
        <w:rPr>
          <w:rFonts w:ascii="Arial" w:hAnsi="Arial" w:cs="Arial"/>
        </w:rPr>
      </w:pPr>
      <w:r w:rsidRPr="00D01EE0">
        <w:rPr>
          <w:rFonts w:ascii="Arial" w:hAnsi="Arial" w:cs="Arial"/>
        </w:rPr>
        <w:t>5.7</w:t>
      </w:r>
      <w:r w:rsidRPr="00D01EE0">
        <w:rPr>
          <w:rFonts w:ascii="Arial" w:hAnsi="Arial" w:cs="Arial"/>
        </w:rPr>
        <w:tab/>
        <w:t>Who should you tell about the outcomes of this analysis?</w:t>
      </w:r>
    </w:p>
    <w:p w14:paraId="20017790" w14:textId="77777777" w:rsidR="00841801" w:rsidRPr="00D01EE0" w:rsidRDefault="00841801" w:rsidP="00D01EE0">
      <w:pPr>
        <w:spacing w:after="0" w:line="300" w:lineRule="atLeast"/>
        <w:rPr>
          <w:rFonts w:ascii="Arial" w:hAnsi="Arial" w:cs="Arial"/>
        </w:rPr>
      </w:pPr>
    </w:p>
    <w:p w14:paraId="6EF7D0DA" w14:textId="26146328" w:rsidR="00D01EE0" w:rsidRPr="00D01EE0" w:rsidRDefault="00841801" w:rsidP="00D01EE0">
      <w:pPr>
        <w:spacing w:after="0" w:line="300" w:lineRule="atLeast"/>
        <w:ind w:left="709"/>
        <w:rPr>
          <w:rFonts w:ascii="Arial" w:hAnsi="Arial" w:cs="Arial"/>
        </w:rPr>
      </w:pPr>
      <w:r>
        <w:rPr>
          <w:rFonts w:ascii="Arial" w:hAnsi="Arial" w:cs="Arial"/>
        </w:rPr>
        <w:lastRenderedPageBreak/>
        <w:t>Councillors</w:t>
      </w:r>
      <w:r w:rsidR="00D01EE0" w:rsidRPr="00D01EE0">
        <w:rPr>
          <w:rFonts w:ascii="Arial" w:hAnsi="Arial" w:cs="Arial"/>
        </w:rPr>
        <w:t xml:space="preserve">, members of public and stakeholders </w:t>
      </w:r>
    </w:p>
    <w:p w14:paraId="3414315C" w14:textId="77777777" w:rsidR="00D01EE0" w:rsidRPr="00D01EE0" w:rsidRDefault="00D01EE0" w:rsidP="00D01EE0">
      <w:pPr>
        <w:spacing w:after="0" w:line="300" w:lineRule="atLeast"/>
        <w:ind w:left="709"/>
        <w:rPr>
          <w:rFonts w:ascii="Arial" w:hAnsi="Arial" w:cs="Arial"/>
        </w:rPr>
      </w:pPr>
    </w:p>
    <w:p w14:paraId="05B65B23" w14:textId="77777777" w:rsidR="00D01EE0" w:rsidRDefault="00D01EE0" w:rsidP="00D01EE0">
      <w:pPr>
        <w:spacing w:after="0" w:line="300" w:lineRule="atLeast"/>
        <w:rPr>
          <w:rFonts w:ascii="Arial" w:hAnsi="Arial" w:cs="Arial"/>
        </w:rPr>
      </w:pPr>
      <w:r w:rsidRPr="00D01EE0">
        <w:rPr>
          <w:rFonts w:ascii="Arial" w:hAnsi="Arial" w:cs="Arial"/>
        </w:rPr>
        <w:t>5.8</w:t>
      </w:r>
      <w:r w:rsidRPr="00D01EE0">
        <w:rPr>
          <w:rFonts w:ascii="Arial" w:hAnsi="Arial" w:cs="Arial"/>
        </w:rPr>
        <w:tab/>
        <w:t>Have you built the actions into your Business Plan with a clear timescale?</w:t>
      </w:r>
    </w:p>
    <w:p w14:paraId="07F7BC6B" w14:textId="77777777" w:rsidR="00841801" w:rsidRPr="00D01EE0" w:rsidRDefault="00841801" w:rsidP="00D01EE0">
      <w:pPr>
        <w:spacing w:after="0" w:line="300" w:lineRule="atLeast"/>
        <w:rPr>
          <w:rFonts w:ascii="Arial" w:hAnsi="Arial" w:cs="Arial"/>
        </w:rPr>
      </w:pPr>
    </w:p>
    <w:p w14:paraId="3FD2F07B" w14:textId="77777777" w:rsidR="00D01EE0" w:rsidRPr="00D01EE0" w:rsidRDefault="00D01EE0" w:rsidP="00D01EE0">
      <w:pPr>
        <w:spacing w:after="0" w:line="300" w:lineRule="atLeast"/>
        <w:ind w:left="709"/>
        <w:rPr>
          <w:rFonts w:ascii="Arial" w:hAnsi="Arial" w:cs="Arial"/>
        </w:rPr>
      </w:pPr>
      <w:r w:rsidRPr="00D01EE0">
        <w:rPr>
          <w:rFonts w:ascii="Arial" w:hAnsi="Arial" w:cs="Arial"/>
        </w:rPr>
        <w:t xml:space="preserve">No. </w:t>
      </w:r>
    </w:p>
    <w:p w14:paraId="1A608351" w14:textId="77777777" w:rsidR="00D01EE0" w:rsidRPr="00D01EE0" w:rsidRDefault="00D01EE0" w:rsidP="00D01EE0">
      <w:pPr>
        <w:spacing w:after="0" w:line="300" w:lineRule="atLeast"/>
        <w:ind w:left="709"/>
        <w:rPr>
          <w:rFonts w:ascii="Arial" w:hAnsi="Arial" w:cs="Arial"/>
        </w:rPr>
      </w:pPr>
    </w:p>
    <w:p w14:paraId="039A6BBC" w14:textId="77777777" w:rsidR="00D01EE0" w:rsidRDefault="00D01EE0" w:rsidP="00D01EE0">
      <w:pPr>
        <w:spacing w:after="0" w:line="300" w:lineRule="atLeast"/>
        <w:rPr>
          <w:rFonts w:ascii="Arial" w:hAnsi="Arial" w:cs="Arial"/>
        </w:rPr>
      </w:pPr>
      <w:r w:rsidRPr="00D01EE0">
        <w:rPr>
          <w:rFonts w:ascii="Arial" w:hAnsi="Arial" w:cs="Arial"/>
        </w:rPr>
        <w:t>5.9</w:t>
      </w:r>
      <w:r w:rsidRPr="00D01EE0">
        <w:rPr>
          <w:rFonts w:ascii="Arial" w:hAnsi="Arial" w:cs="Arial"/>
        </w:rPr>
        <w:tab/>
        <w:t>When will this assessment need to be repeated?</w:t>
      </w:r>
    </w:p>
    <w:p w14:paraId="24D50397" w14:textId="77777777" w:rsidR="00841801" w:rsidRPr="00D01EE0" w:rsidRDefault="00841801" w:rsidP="00D01EE0">
      <w:pPr>
        <w:spacing w:after="0" w:line="300" w:lineRule="atLeast"/>
        <w:rPr>
          <w:rFonts w:ascii="Arial" w:hAnsi="Arial" w:cs="Arial"/>
        </w:rPr>
      </w:pPr>
    </w:p>
    <w:p w14:paraId="5623AC57" w14:textId="166026BA" w:rsidR="00D01EE0" w:rsidRPr="00D01EE0" w:rsidRDefault="00D01EE0" w:rsidP="00D01EE0">
      <w:pPr>
        <w:spacing w:after="0" w:line="300" w:lineRule="atLeast"/>
        <w:ind w:left="709"/>
        <w:rPr>
          <w:rFonts w:ascii="Arial" w:hAnsi="Arial" w:cs="Arial"/>
        </w:rPr>
      </w:pPr>
      <w:r w:rsidRPr="00D01EE0">
        <w:rPr>
          <w:rFonts w:ascii="Arial" w:hAnsi="Arial" w:cs="Arial"/>
        </w:rPr>
        <w:t>When the Article 4 Direction for HMOs is made final</w:t>
      </w:r>
      <w:r w:rsidR="002770C7">
        <w:rPr>
          <w:rFonts w:ascii="Arial" w:hAnsi="Arial" w:cs="Arial"/>
        </w:rPr>
        <w:t xml:space="preserve"> and 12 months afterwards</w:t>
      </w:r>
      <w:r w:rsidRPr="00D01EE0">
        <w:rPr>
          <w:rFonts w:ascii="Arial" w:hAnsi="Arial" w:cs="Arial"/>
        </w:rPr>
        <w:t xml:space="preserve">. </w:t>
      </w:r>
    </w:p>
    <w:p w14:paraId="3197636B" w14:textId="77777777" w:rsidR="00D01EE0" w:rsidRPr="00D01EE0" w:rsidRDefault="00D01EE0" w:rsidP="00D01EE0">
      <w:pPr>
        <w:spacing w:after="0" w:line="300" w:lineRule="atLeast"/>
        <w:rPr>
          <w:rFonts w:ascii="Arial" w:hAnsi="Arial" w:cs="Arial"/>
        </w:rPr>
      </w:pPr>
    </w:p>
    <w:p w14:paraId="17CDC33C" w14:textId="77777777" w:rsidR="00D01EE0" w:rsidRPr="00D01EE0" w:rsidRDefault="00D01EE0" w:rsidP="00D01EE0">
      <w:pPr>
        <w:spacing w:after="0" w:line="300" w:lineRule="atLeast"/>
        <w:rPr>
          <w:rFonts w:ascii="Arial" w:hAnsi="Arial" w:cs="Arial"/>
        </w:rPr>
      </w:pPr>
    </w:p>
    <w:p w14:paraId="3F3EE396" w14:textId="64F8C2C9" w:rsidR="00D01EE0" w:rsidRDefault="002770C7" w:rsidP="00D01EE0">
      <w:pPr>
        <w:spacing w:after="0" w:line="300" w:lineRule="atLeast"/>
        <w:rPr>
          <w:rFonts w:ascii="Arial" w:hAnsi="Arial" w:cs="Arial"/>
        </w:rPr>
      </w:pPr>
      <w:r>
        <w:rPr>
          <w:rFonts w:ascii="Arial" w:hAnsi="Arial" w:cs="Arial"/>
        </w:rPr>
        <w:t>Anne Shorland</w:t>
      </w:r>
    </w:p>
    <w:p w14:paraId="07D66B94" w14:textId="1305D09E" w:rsidR="002770C7" w:rsidRDefault="002770C7" w:rsidP="00D01EE0">
      <w:pPr>
        <w:spacing w:after="0" w:line="300" w:lineRule="atLeast"/>
        <w:rPr>
          <w:rFonts w:ascii="Arial" w:hAnsi="Arial" w:cs="Arial"/>
        </w:rPr>
      </w:pPr>
      <w:r>
        <w:rPr>
          <w:rFonts w:ascii="Arial" w:hAnsi="Arial" w:cs="Arial"/>
        </w:rPr>
        <w:t>Planning Policy Manager</w:t>
      </w:r>
    </w:p>
    <w:p w14:paraId="470ABB74" w14:textId="52BC5E79" w:rsidR="002770C7" w:rsidRDefault="002770C7" w:rsidP="00D01EE0">
      <w:pPr>
        <w:spacing w:after="0" w:line="300" w:lineRule="atLeast"/>
        <w:rPr>
          <w:rFonts w:ascii="Arial" w:hAnsi="Arial" w:cs="Arial"/>
        </w:rPr>
      </w:pPr>
      <w:r>
        <w:rPr>
          <w:rFonts w:ascii="Arial" w:hAnsi="Arial" w:cs="Arial"/>
        </w:rPr>
        <w:t>February 2026</w:t>
      </w:r>
    </w:p>
    <w:p w14:paraId="2D292847" w14:textId="77777777" w:rsidR="00DC4302" w:rsidRDefault="00DC4302" w:rsidP="00DC4302">
      <w:pPr>
        <w:tabs>
          <w:tab w:val="left" w:pos="920"/>
        </w:tabs>
        <w:rPr>
          <w:rFonts w:ascii="Arial" w:hAnsi="Arial" w:cs="Arial"/>
        </w:rPr>
        <w:sectPr w:rsidR="00DC4302" w:rsidSect="001272BE">
          <w:footerReference w:type="default" r:id="rId18"/>
          <w:pgSz w:w="11906" w:h="16838"/>
          <w:pgMar w:top="1440" w:right="1440" w:bottom="1440" w:left="1440" w:header="708" w:footer="708" w:gutter="0"/>
          <w:cols w:space="708"/>
          <w:docGrid w:linePitch="360"/>
        </w:sectPr>
      </w:pPr>
    </w:p>
    <w:p w14:paraId="3445AE91" w14:textId="7E1686F7" w:rsidR="00DC4302" w:rsidRDefault="00DC4302" w:rsidP="00EB62DC">
      <w:pPr>
        <w:pStyle w:val="Heading1"/>
        <w:rPr>
          <w:rFonts w:ascii="Arial" w:hAnsi="Arial" w:cs="Arial"/>
        </w:rPr>
      </w:pPr>
      <w:r>
        <w:rPr>
          <w:rFonts w:ascii="Arial" w:hAnsi="Arial" w:cs="Arial"/>
        </w:rPr>
        <w:lastRenderedPageBreak/>
        <w:tab/>
      </w:r>
      <w:bookmarkStart w:id="11" w:name="_Toc223633627"/>
      <w:r w:rsidRPr="00DC4302">
        <w:rPr>
          <w:rFonts w:ascii="Arial" w:hAnsi="Arial" w:cs="Arial"/>
          <w:b/>
          <w:bCs/>
          <w:sz w:val="28"/>
          <w:szCs w:val="28"/>
        </w:rPr>
        <w:t>A</w:t>
      </w:r>
      <w:r w:rsidR="00EB62DC">
        <w:rPr>
          <w:rFonts w:ascii="Arial" w:hAnsi="Arial" w:cs="Arial"/>
          <w:b/>
          <w:bCs/>
          <w:sz w:val="28"/>
          <w:szCs w:val="28"/>
        </w:rPr>
        <w:t>ppendix</w:t>
      </w:r>
      <w:r w:rsidRPr="00DC4302">
        <w:rPr>
          <w:rFonts w:ascii="Arial" w:hAnsi="Arial" w:cs="Arial"/>
          <w:b/>
          <w:bCs/>
          <w:sz w:val="28"/>
          <w:szCs w:val="28"/>
        </w:rPr>
        <w:t xml:space="preserve"> 3 – I</w:t>
      </w:r>
      <w:r w:rsidR="00EB62DC">
        <w:rPr>
          <w:rFonts w:ascii="Arial" w:hAnsi="Arial" w:cs="Arial"/>
          <w:b/>
          <w:bCs/>
          <w:sz w:val="28"/>
          <w:szCs w:val="28"/>
        </w:rPr>
        <w:t>ndices of Deprivation Lancashire</w:t>
      </w:r>
      <w:r w:rsidRPr="00DC4302">
        <w:rPr>
          <w:noProof/>
        </w:rPr>
        <w:drawing>
          <wp:anchor distT="0" distB="0" distL="114300" distR="114300" simplePos="0" relativeHeight="251711488" behindDoc="0" locked="0" layoutInCell="1" allowOverlap="1" wp14:anchorId="3C4A06DA" wp14:editId="458F8ADA">
            <wp:simplePos x="0" y="0"/>
            <wp:positionH relativeFrom="column">
              <wp:posOffset>69850</wp:posOffset>
            </wp:positionH>
            <wp:positionV relativeFrom="paragraph">
              <wp:posOffset>899795</wp:posOffset>
            </wp:positionV>
            <wp:extent cx="8985885" cy="2971800"/>
            <wp:effectExtent l="0" t="0" r="5715" b="0"/>
            <wp:wrapTopAndBottom/>
            <wp:docPr id="5481866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85885" cy="2971800"/>
                    </a:xfrm>
                    <a:prstGeom prst="rect">
                      <a:avLst/>
                    </a:prstGeom>
                    <a:noFill/>
                    <a:ln>
                      <a:noFill/>
                    </a:ln>
                  </pic:spPr>
                </pic:pic>
              </a:graphicData>
            </a:graphic>
            <wp14:sizeRelV relativeFrom="margin">
              <wp14:pctHeight>0</wp14:pctHeight>
            </wp14:sizeRelV>
          </wp:anchor>
        </w:drawing>
      </w:r>
      <w:bookmarkEnd w:id="11"/>
      <w:r>
        <w:rPr>
          <w:rFonts w:ascii="Arial" w:hAnsi="Arial" w:cs="Arial"/>
        </w:rPr>
        <w:br w:type="page"/>
      </w:r>
    </w:p>
    <w:p w14:paraId="3EE6580C" w14:textId="3F71A272" w:rsidR="00DC4302" w:rsidRDefault="005A67A8" w:rsidP="005A67A8">
      <w:pPr>
        <w:pStyle w:val="Heading1"/>
        <w:rPr>
          <w:rFonts w:ascii="Arial" w:hAnsi="Arial" w:cs="Arial"/>
          <w:b/>
          <w:bCs/>
          <w:sz w:val="28"/>
          <w:szCs w:val="28"/>
        </w:rPr>
      </w:pPr>
      <w:bookmarkStart w:id="12" w:name="_Toc223633628"/>
      <w:r w:rsidRPr="005A67A8">
        <w:rPr>
          <w:rFonts w:ascii="Arial" w:hAnsi="Arial" w:cs="Arial"/>
          <w:b/>
          <w:bCs/>
          <w:sz w:val="28"/>
          <w:szCs w:val="28"/>
        </w:rPr>
        <w:lastRenderedPageBreak/>
        <w:t>A</w:t>
      </w:r>
      <w:r w:rsidR="00EB62DC">
        <w:rPr>
          <w:rFonts w:ascii="Arial" w:hAnsi="Arial" w:cs="Arial"/>
          <w:b/>
          <w:bCs/>
          <w:sz w:val="28"/>
          <w:szCs w:val="28"/>
        </w:rPr>
        <w:t>ppendix</w:t>
      </w:r>
      <w:r w:rsidRPr="005A67A8">
        <w:rPr>
          <w:rFonts w:ascii="Arial" w:hAnsi="Arial" w:cs="Arial"/>
          <w:b/>
          <w:bCs/>
          <w:sz w:val="28"/>
          <w:szCs w:val="28"/>
        </w:rPr>
        <w:t xml:space="preserve"> 4 – I</w:t>
      </w:r>
      <w:r w:rsidR="00EB62DC">
        <w:rPr>
          <w:rFonts w:ascii="Arial" w:hAnsi="Arial" w:cs="Arial"/>
          <w:b/>
          <w:bCs/>
          <w:sz w:val="28"/>
          <w:szCs w:val="28"/>
        </w:rPr>
        <w:t>ndices of Deprivation by Ward</w:t>
      </w:r>
      <w:bookmarkEnd w:id="12"/>
      <w:r w:rsidR="00EB62DC">
        <w:rPr>
          <w:rFonts w:ascii="Arial" w:hAnsi="Arial" w:cs="Arial"/>
          <w:b/>
          <w:bCs/>
          <w:sz w:val="28"/>
          <w:szCs w:val="28"/>
        </w:rPr>
        <w:t xml:space="preserve"> </w:t>
      </w:r>
    </w:p>
    <w:p w14:paraId="6528E89C" w14:textId="77777777" w:rsidR="005A67A8" w:rsidRDefault="005A67A8" w:rsidP="005A67A8"/>
    <w:tbl>
      <w:tblPr>
        <w:tblStyle w:val="TableGrid"/>
        <w:tblW w:w="0" w:type="auto"/>
        <w:tblLook w:val="04A0" w:firstRow="1" w:lastRow="0" w:firstColumn="1" w:lastColumn="0" w:noHBand="0" w:noVBand="1"/>
      </w:tblPr>
      <w:tblGrid>
        <w:gridCol w:w="1486"/>
        <w:gridCol w:w="1309"/>
        <w:gridCol w:w="1016"/>
        <w:gridCol w:w="1094"/>
        <w:gridCol w:w="821"/>
        <w:gridCol w:w="1163"/>
        <w:gridCol w:w="957"/>
        <w:gridCol w:w="1094"/>
        <w:gridCol w:w="821"/>
        <w:gridCol w:w="821"/>
        <w:gridCol w:w="1178"/>
        <w:gridCol w:w="1094"/>
        <w:gridCol w:w="1094"/>
      </w:tblGrid>
      <w:tr w:rsidR="005A67A8" w:rsidRPr="005A67A8" w14:paraId="511863C9" w14:textId="77777777" w:rsidTr="005A67A8">
        <w:trPr>
          <w:trHeight w:val="1260"/>
        </w:trPr>
        <w:tc>
          <w:tcPr>
            <w:tcW w:w="1780" w:type="dxa"/>
            <w:shd w:val="clear" w:color="auto" w:fill="7030A0"/>
            <w:hideMark/>
          </w:tcPr>
          <w:p w14:paraId="3527EB5A" w14:textId="77777777" w:rsidR="005A67A8" w:rsidRPr="005A67A8" w:rsidRDefault="005A67A8">
            <w:pPr>
              <w:rPr>
                <w:b/>
                <w:bCs/>
                <w:color w:val="FFFFFF" w:themeColor="background1"/>
              </w:rPr>
            </w:pPr>
            <w:r w:rsidRPr="005A67A8">
              <w:rPr>
                <w:b/>
                <w:bCs/>
                <w:color w:val="FFFFFF" w:themeColor="background1"/>
              </w:rPr>
              <w:t>LSOA code (2021)</w:t>
            </w:r>
          </w:p>
        </w:tc>
        <w:tc>
          <w:tcPr>
            <w:tcW w:w="1560" w:type="dxa"/>
            <w:shd w:val="clear" w:color="auto" w:fill="7030A0"/>
            <w:hideMark/>
          </w:tcPr>
          <w:p w14:paraId="577CB42F" w14:textId="77777777" w:rsidR="005A67A8" w:rsidRPr="005A67A8" w:rsidRDefault="005A67A8">
            <w:pPr>
              <w:rPr>
                <w:b/>
                <w:bCs/>
                <w:color w:val="FFFFFF" w:themeColor="background1"/>
              </w:rPr>
            </w:pPr>
            <w:r w:rsidRPr="005A67A8">
              <w:rPr>
                <w:b/>
                <w:bCs/>
                <w:color w:val="FFFFFF" w:themeColor="background1"/>
              </w:rPr>
              <w:t>LSOA name (2021)</w:t>
            </w:r>
          </w:p>
        </w:tc>
        <w:tc>
          <w:tcPr>
            <w:tcW w:w="1200" w:type="dxa"/>
            <w:shd w:val="clear" w:color="auto" w:fill="7030A0"/>
            <w:hideMark/>
          </w:tcPr>
          <w:p w14:paraId="66195CC4" w14:textId="77777777" w:rsidR="005A67A8" w:rsidRPr="005A67A8" w:rsidRDefault="005A67A8">
            <w:pPr>
              <w:rPr>
                <w:b/>
                <w:bCs/>
                <w:color w:val="FFFFFF" w:themeColor="background1"/>
              </w:rPr>
            </w:pPr>
            <w:r w:rsidRPr="005A67A8">
              <w:rPr>
                <w:b/>
                <w:bCs/>
                <w:color w:val="FFFFFF" w:themeColor="background1"/>
              </w:rPr>
              <w:t>Ward</w:t>
            </w:r>
          </w:p>
        </w:tc>
        <w:tc>
          <w:tcPr>
            <w:tcW w:w="960" w:type="dxa"/>
            <w:shd w:val="clear" w:color="auto" w:fill="7030A0"/>
            <w:hideMark/>
          </w:tcPr>
          <w:p w14:paraId="7608C868" w14:textId="77777777" w:rsidR="005A67A8" w:rsidRPr="005A67A8" w:rsidRDefault="005A67A8">
            <w:pPr>
              <w:rPr>
                <w:b/>
                <w:bCs/>
                <w:color w:val="FFFFFF" w:themeColor="background1"/>
              </w:rPr>
            </w:pPr>
            <w:r w:rsidRPr="005A67A8">
              <w:rPr>
                <w:b/>
                <w:bCs/>
                <w:color w:val="FFFFFF" w:themeColor="background1"/>
              </w:rPr>
              <w:t>Index of Multiple Deprivation (IMD) Decile</w:t>
            </w:r>
          </w:p>
        </w:tc>
        <w:tc>
          <w:tcPr>
            <w:tcW w:w="960" w:type="dxa"/>
            <w:shd w:val="clear" w:color="auto" w:fill="7030A0"/>
            <w:hideMark/>
          </w:tcPr>
          <w:p w14:paraId="49FD2BA0" w14:textId="77777777" w:rsidR="005A67A8" w:rsidRPr="005A67A8" w:rsidRDefault="005A67A8">
            <w:pPr>
              <w:rPr>
                <w:b/>
                <w:bCs/>
                <w:color w:val="FFFFFF" w:themeColor="background1"/>
              </w:rPr>
            </w:pPr>
            <w:r w:rsidRPr="005A67A8">
              <w:rPr>
                <w:b/>
                <w:bCs/>
                <w:color w:val="FFFFFF" w:themeColor="background1"/>
              </w:rPr>
              <w:t>Income Decile</w:t>
            </w:r>
          </w:p>
        </w:tc>
        <w:tc>
          <w:tcPr>
            <w:tcW w:w="960" w:type="dxa"/>
            <w:shd w:val="clear" w:color="auto" w:fill="7030A0"/>
            <w:hideMark/>
          </w:tcPr>
          <w:p w14:paraId="107F7E0E" w14:textId="77777777" w:rsidR="005A67A8" w:rsidRPr="005A67A8" w:rsidRDefault="005A67A8">
            <w:pPr>
              <w:rPr>
                <w:b/>
                <w:bCs/>
                <w:color w:val="FFFFFF" w:themeColor="background1"/>
              </w:rPr>
            </w:pPr>
            <w:r w:rsidRPr="005A67A8">
              <w:rPr>
                <w:b/>
                <w:bCs/>
                <w:color w:val="FFFFFF" w:themeColor="background1"/>
              </w:rPr>
              <w:t>Employment Decile</w:t>
            </w:r>
          </w:p>
        </w:tc>
        <w:tc>
          <w:tcPr>
            <w:tcW w:w="960" w:type="dxa"/>
            <w:shd w:val="clear" w:color="auto" w:fill="7030A0"/>
            <w:hideMark/>
          </w:tcPr>
          <w:p w14:paraId="0613AC44" w14:textId="77777777" w:rsidR="005A67A8" w:rsidRPr="005A67A8" w:rsidRDefault="005A67A8">
            <w:pPr>
              <w:rPr>
                <w:b/>
                <w:bCs/>
                <w:color w:val="FFFFFF" w:themeColor="background1"/>
              </w:rPr>
            </w:pPr>
            <w:r w:rsidRPr="005A67A8">
              <w:rPr>
                <w:b/>
                <w:bCs/>
                <w:color w:val="FFFFFF" w:themeColor="background1"/>
              </w:rPr>
              <w:t>Education Skills and Training Decile</w:t>
            </w:r>
          </w:p>
        </w:tc>
        <w:tc>
          <w:tcPr>
            <w:tcW w:w="960" w:type="dxa"/>
            <w:shd w:val="clear" w:color="auto" w:fill="7030A0"/>
            <w:hideMark/>
          </w:tcPr>
          <w:p w14:paraId="3BC463A0" w14:textId="77777777" w:rsidR="005A67A8" w:rsidRPr="005A67A8" w:rsidRDefault="005A67A8">
            <w:pPr>
              <w:rPr>
                <w:b/>
                <w:bCs/>
                <w:color w:val="FFFFFF" w:themeColor="background1"/>
              </w:rPr>
            </w:pPr>
            <w:r w:rsidRPr="005A67A8">
              <w:rPr>
                <w:b/>
                <w:bCs/>
                <w:color w:val="FFFFFF" w:themeColor="background1"/>
              </w:rPr>
              <w:t>Health Deprivation and Disability Decile</w:t>
            </w:r>
          </w:p>
        </w:tc>
        <w:tc>
          <w:tcPr>
            <w:tcW w:w="960" w:type="dxa"/>
            <w:shd w:val="clear" w:color="auto" w:fill="7030A0"/>
            <w:hideMark/>
          </w:tcPr>
          <w:p w14:paraId="782ED06E" w14:textId="77777777" w:rsidR="005A67A8" w:rsidRPr="005A67A8" w:rsidRDefault="005A67A8">
            <w:pPr>
              <w:rPr>
                <w:b/>
                <w:bCs/>
                <w:color w:val="FFFFFF" w:themeColor="background1"/>
              </w:rPr>
            </w:pPr>
            <w:r w:rsidRPr="005A67A8">
              <w:rPr>
                <w:b/>
                <w:bCs/>
                <w:color w:val="FFFFFF" w:themeColor="background1"/>
              </w:rPr>
              <w:t>Crime Decile</w:t>
            </w:r>
          </w:p>
        </w:tc>
        <w:tc>
          <w:tcPr>
            <w:tcW w:w="960" w:type="dxa"/>
            <w:shd w:val="clear" w:color="auto" w:fill="7030A0"/>
            <w:hideMark/>
          </w:tcPr>
          <w:p w14:paraId="36FF0DF6" w14:textId="77777777" w:rsidR="005A67A8" w:rsidRPr="005A67A8" w:rsidRDefault="005A67A8">
            <w:pPr>
              <w:rPr>
                <w:b/>
                <w:bCs/>
                <w:color w:val="FFFFFF" w:themeColor="background1"/>
              </w:rPr>
            </w:pPr>
            <w:r w:rsidRPr="005A67A8">
              <w:rPr>
                <w:b/>
                <w:bCs/>
                <w:color w:val="FFFFFF" w:themeColor="background1"/>
              </w:rPr>
              <w:t>Barriers to Housing and Services Decile</w:t>
            </w:r>
          </w:p>
        </w:tc>
        <w:tc>
          <w:tcPr>
            <w:tcW w:w="960" w:type="dxa"/>
            <w:shd w:val="clear" w:color="auto" w:fill="7030A0"/>
            <w:hideMark/>
          </w:tcPr>
          <w:p w14:paraId="71C775E6" w14:textId="77777777" w:rsidR="005A67A8" w:rsidRPr="005A67A8" w:rsidRDefault="005A67A8">
            <w:pPr>
              <w:rPr>
                <w:b/>
                <w:bCs/>
                <w:color w:val="FFFFFF" w:themeColor="background1"/>
              </w:rPr>
            </w:pPr>
            <w:r w:rsidRPr="005A67A8">
              <w:rPr>
                <w:b/>
                <w:bCs/>
                <w:color w:val="FFFFFF" w:themeColor="background1"/>
              </w:rPr>
              <w:t>Living Environment Decile</w:t>
            </w:r>
          </w:p>
        </w:tc>
        <w:tc>
          <w:tcPr>
            <w:tcW w:w="960" w:type="dxa"/>
            <w:shd w:val="clear" w:color="auto" w:fill="7030A0"/>
            <w:hideMark/>
          </w:tcPr>
          <w:p w14:paraId="0C02E91A" w14:textId="77777777" w:rsidR="005A67A8" w:rsidRPr="005A67A8" w:rsidRDefault="005A67A8">
            <w:pPr>
              <w:rPr>
                <w:b/>
                <w:bCs/>
                <w:color w:val="FFFFFF" w:themeColor="background1"/>
              </w:rPr>
            </w:pPr>
            <w:r w:rsidRPr="005A67A8">
              <w:rPr>
                <w:b/>
                <w:bCs/>
                <w:color w:val="FFFFFF" w:themeColor="background1"/>
              </w:rPr>
              <w:t>Income Deprivation Affecting Children Index (IDACI) Decile</w:t>
            </w:r>
          </w:p>
        </w:tc>
        <w:tc>
          <w:tcPr>
            <w:tcW w:w="960" w:type="dxa"/>
            <w:shd w:val="clear" w:color="auto" w:fill="7030A0"/>
            <w:hideMark/>
          </w:tcPr>
          <w:p w14:paraId="66B53753" w14:textId="77777777" w:rsidR="005A67A8" w:rsidRPr="005A67A8" w:rsidRDefault="005A67A8">
            <w:pPr>
              <w:rPr>
                <w:b/>
                <w:bCs/>
                <w:color w:val="FFFFFF" w:themeColor="background1"/>
              </w:rPr>
            </w:pPr>
            <w:r w:rsidRPr="005A67A8">
              <w:rPr>
                <w:b/>
                <w:bCs/>
                <w:color w:val="FFFFFF" w:themeColor="background1"/>
              </w:rPr>
              <w:t>Income Deprivation Affecting Older People (IDAOPI) Decile</w:t>
            </w:r>
          </w:p>
        </w:tc>
      </w:tr>
      <w:tr w:rsidR="005A67A8" w:rsidRPr="005A67A8" w14:paraId="6612DEE9" w14:textId="77777777" w:rsidTr="005A67A8">
        <w:trPr>
          <w:trHeight w:val="210"/>
        </w:trPr>
        <w:tc>
          <w:tcPr>
            <w:tcW w:w="1780" w:type="dxa"/>
            <w:noWrap/>
            <w:hideMark/>
          </w:tcPr>
          <w:p w14:paraId="2FB900CB" w14:textId="77777777" w:rsidR="005A67A8" w:rsidRPr="005A67A8" w:rsidRDefault="005A67A8">
            <w:r w:rsidRPr="005A67A8">
              <w:t>E01025032</w:t>
            </w:r>
          </w:p>
        </w:tc>
        <w:tc>
          <w:tcPr>
            <w:tcW w:w="1560" w:type="dxa"/>
            <w:noWrap/>
            <w:hideMark/>
          </w:tcPr>
          <w:p w14:paraId="67603F5D" w14:textId="77777777" w:rsidR="005A67A8" w:rsidRPr="005A67A8" w:rsidRDefault="005A67A8">
            <w:r w:rsidRPr="005A67A8">
              <w:t>Hyndburn 002A</w:t>
            </w:r>
          </w:p>
        </w:tc>
        <w:tc>
          <w:tcPr>
            <w:tcW w:w="1200" w:type="dxa"/>
            <w:noWrap/>
            <w:hideMark/>
          </w:tcPr>
          <w:p w14:paraId="726BC7E5" w14:textId="77777777" w:rsidR="005A67A8" w:rsidRPr="005A67A8" w:rsidRDefault="005A67A8">
            <w:r w:rsidRPr="005A67A8">
              <w:t>Altham</w:t>
            </w:r>
          </w:p>
        </w:tc>
        <w:tc>
          <w:tcPr>
            <w:tcW w:w="960" w:type="dxa"/>
            <w:noWrap/>
            <w:hideMark/>
          </w:tcPr>
          <w:p w14:paraId="2BE098B9" w14:textId="77777777" w:rsidR="005A67A8" w:rsidRPr="005A67A8" w:rsidRDefault="005A67A8" w:rsidP="005A67A8">
            <w:r w:rsidRPr="005A67A8">
              <w:t>2</w:t>
            </w:r>
          </w:p>
        </w:tc>
        <w:tc>
          <w:tcPr>
            <w:tcW w:w="960" w:type="dxa"/>
            <w:noWrap/>
            <w:hideMark/>
          </w:tcPr>
          <w:p w14:paraId="624FC6D9" w14:textId="77777777" w:rsidR="005A67A8" w:rsidRPr="005A67A8" w:rsidRDefault="005A67A8" w:rsidP="005A67A8">
            <w:r w:rsidRPr="005A67A8">
              <w:t>2</w:t>
            </w:r>
          </w:p>
        </w:tc>
        <w:tc>
          <w:tcPr>
            <w:tcW w:w="960" w:type="dxa"/>
            <w:noWrap/>
            <w:hideMark/>
          </w:tcPr>
          <w:p w14:paraId="298C6446" w14:textId="77777777" w:rsidR="005A67A8" w:rsidRPr="005A67A8" w:rsidRDefault="005A67A8" w:rsidP="005A67A8">
            <w:r w:rsidRPr="005A67A8">
              <w:t>2</w:t>
            </w:r>
          </w:p>
        </w:tc>
        <w:tc>
          <w:tcPr>
            <w:tcW w:w="960" w:type="dxa"/>
            <w:noWrap/>
            <w:hideMark/>
          </w:tcPr>
          <w:p w14:paraId="09EFAB6C" w14:textId="77777777" w:rsidR="005A67A8" w:rsidRPr="005A67A8" w:rsidRDefault="005A67A8" w:rsidP="005A67A8">
            <w:r w:rsidRPr="005A67A8">
              <w:t>3</w:t>
            </w:r>
          </w:p>
        </w:tc>
        <w:tc>
          <w:tcPr>
            <w:tcW w:w="960" w:type="dxa"/>
            <w:noWrap/>
            <w:hideMark/>
          </w:tcPr>
          <w:p w14:paraId="4A90077B" w14:textId="77777777" w:rsidR="005A67A8" w:rsidRPr="005A67A8" w:rsidRDefault="005A67A8" w:rsidP="005A67A8">
            <w:r w:rsidRPr="005A67A8">
              <w:t>1</w:t>
            </w:r>
          </w:p>
        </w:tc>
        <w:tc>
          <w:tcPr>
            <w:tcW w:w="960" w:type="dxa"/>
            <w:noWrap/>
            <w:hideMark/>
          </w:tcPr>
          <w:p w14:paraId="127BCAD6" w14:textId="77777777" w:rsidR="005A67A8" w:rsidRPr="005A67A8" w:rsidRDefault="005A67A8" w:rsidP="005A67A8">
            <w:r w:rsidRPr="005A67A8">
              <w:t>2</w:t>
            </w:r>
          </w:p>
        </w:tc>
        <w:tc>
          <w:tcPr>
            <w:tcW w:w="960" w:type="dxa"/>
            <w:noWrap/>
            <w:hideMark/>
          </w:tcPr>
          <w:p w14:paraId="32211C5B" w14:textId="77777777" w:rsidR="005A67A8" w:rsidRPr="005A67A8" w:rsidRDefault="005A67A8" w:rsidP="005A67A8">
            <w:r w:rsidRPr="005A67A8">
              <w:t>6</w:t>
            </w:r>
          </w:p>
        </w:tc>
        <w:tc>
          <w:tcPr>
            <w:tcW w:w="960" w:type="dxa"/>
            <w:noWrap/>
            <w:hideMark/>
          </w:tcPr>
          <w:p w14:paraId="3B4993C5" w14:textId="77777777" w:rsidR="005A67A8" w:rsidRPr="005A67A8" w:rsidRDefault="005A67A8" w:rsidP="005A67A8">
            <w:r w:rsidRPr="005A67A8">
              <w:t>3</w:t>
            </w:r>
          </w:p>
        </w:tc>
        <w:tc>
          <w:tcPr>
            <w:tcW w:w="960" w:type="dxa"/>
            <w:noWrap/>
            <w:hideMark/>
          </w:tcPr>
          <w:p w14:paraId="10B6B5B3" w14:textId="77777777" w:rsidR="005A67A8" w:rsidRPr="005A67A8" w:rsidRDefault="005A67A8" w:rsidP="005A67A8">
            <w:r w:rsidRPr="005A67A8">
              <w:t>2</w:t>
            </w:r>
          </w:p>
        </w:tc>
        <w:tc>
          <w:tcPr>
            <w:tcW w:w="960" w:type="dxa"/>
            <w:noWrap/>
            <w:hideMark/>
          </w:tcPr>
          <w:p w14:paraId="4C65524B" w14:textId="77777777" w:rsidR="005A67A8" w:rsidRPr="005A67A8" w:rsidRDefault="005A67A8" w:rsidP="005A67A8">
            <w:r w:rsidRPr="005A67A8">
              <w:t>4</w:t>
            </w:r>
          </w:p>
        </w:tc>
      </w:tr>
      <w:tr w:rsidR="005A67A8" w:rsidRPr="005A67A8" w14:paraId="2B804157" w14:textId="77777777" w:rsidTr="005A67A8">
        <w:trPr>
          <w:trHeight w:val="210"/>
        </w:trPr>
        <w:tc>
          <w:tcPr>
            <w:tcW w:w="1780" w:type="dxa"/>
            <w:noWrap/>
            <w:hideMark/>
          </w:tcPr>
          <w:p w14:paraId="7CFE7E69" w14:textId="77777777" w:rsidR="005A67A8" w:rsidRPr="005A67A8" w:rsidRDefault="005A67A8">
            <w:r w:rsidRPr="005A67A8">
              <w:t>E01025033</w:t>
            </w:r>
          </w:p>
        </w:tc>
        <w:tc>
          <w:tcPr>
            <w:tcW w:w="1560" w:type="dxa"/>
            <w:noWrap/>
            <w:hideMark/>
          </w:tcPr>
          <w:p w14:paraId="4A448651" w14:textId="77777777" w:rsidR="005A67A8" w:rsidRPr="005A67A8" w:rsidRDefault="005A67A8">
            <w:r w:rsidRPr="005A67A8">
              <w:t>Hyndburn 002B</w:t>
            </w:r>
          </w:p>
        </w:tc>
        <w:tc>
          <w:tcPr>
            <w:tcW w:w="1200" w:type="dxa"/>
            <w:noWrap/>
            <w:hideMark/>
          </w:tcPr>
          <w:p w14:paraId="41E1BB26" w14:textId="77777777" w:rsidR="005A67A8" w:rsidRPr="005A67A8" w:rsidRDefault="005A67A8">
            <w:r w:rsidRPr="005A67A8">
              <w:t>Altham</w:t>
            </w:r>
          </w:p>
        </w:tc>
        <w:tc>
          <w:tcPr>
            <w:tcW w:w="960" w:type="dxa"/>
            <w:noWrap/>
            <w:hideMark/>
          </w:tcPr>
          <w:p w14:paraId="0BD585F6" w14:textId="77777777" w:rsidR="005A67A8" w:rsidRPr="005A67A8" w:rsidRDefault="005A67A8" w:rsidP="005A67A8">
            <w:r w:rsidRPr="005A67A8">
              <w:t>7</w:t>
            </w:r>
          </w:p>
        </w:tc>
        <w:tc>
          <w:tcPr>
            <w:tcW w:w="960" w:type="dxa"/>
            <w:noWrap/>
            <w:hideMark/>
          </w:tcPr>
          <w:p w14:paraId="1980EA16" w14:textId="77777777" w:rsidR="005A67A8" w:rsidRPr="005A67A8" w:rsidRDefault="005A67A8" w:rsidP="005A67A8">
            <w:r w:rsidRPr="005A67A8">
              <w:t>7</w:t>
            </w:r>
          </w:p>
        </w:tc>
        <w:tc>
          <w:tcPr>
            <w:tcW w:w="960" w:type="dxa"/>
            <w:noWrap/>
            <w:hideMark/>
          </w:tcPr>
          <w:p w14:paraId="01A11EEB" w14:textId="77777777" w:rsidR="005A67A8" w:rsidRPr="005A67A8" w:rsidRDefault="005A67A8" w:rsidP="005A67A8">
            <w:r w:rsidRPr="005A67A8">
              <w:t>7</w:t>
            </w:r>
          </w:p>
        </w:tc>
        <w:tc>
          <w:tcPr>
            <w:tcW w:w="960" w:type="dxa"/>
            <w:noWrap/>
            <w:hideMark/>
          </w:tcPr>
          <w:p w14:paraId="1D2BD771" w14:textId="77777777" w:rsidR="005A67A8" w:rsidRPr="005A67A8" w:rsidRDefault="005A67A8" w:rsidP="005A67A8">
            <w:r w:rsidRPr="005A67A8">
              <w:t>9</w:t>
            </w:r>
          </w:p>
        </w:tc>
        <w:tc>
          <w:tcPr>
            <w:tcW w:w="960" w:type="dxa"/>
            <w:noWrap/>
            <w:hideMark/>
          </w:tcPr>
          <w:p w14:paraId="35F4DB20" w14:textId="77777777" w:rsidR="005A67A8" w:rsidRPr="005A67A8" w:rsidRDefault="005A67A8" w:rsidP="005A67A8">
            <w:r w:rsidRPr="005A67A8">
              <w:t>4</w:t>
            </w:r>
          </w:p>
        </w:tc>
        <w:tc>
          <w:tcPr>
            <w:tcW w:w="960" w:type="dxa"/>
            <w:noWrap/>
            <w:hideMark/>
          </w:tcPr>
          <w:p w14:paraId="0D872E23" w14:textId="77777777" w:rsidR="005A67A8" w:rsidRPr="005A67A8" w:rsidRDefault="005A67A8" w:rsidP="005A67A8">
            <w:r w:rsidRPr="005A67A8">
              <w:t>9</w:t>
            </w:r>
          </w:p>
        </w:tc>
        <w:tc>
          <w:tcPr>
            <w:tcW w:w="960" w:type="dxa"/>
            <w:noWrap/>
            <w:hideMark/>
          </w:tcPr>
          <w:p w14:paraId="1601A5DF" w14:textId="77777777" w:rsidR="005A67A8" w:rsidRPr="005A67A8" w:rsidRDefault="005A67A8" w:rsidP="005A67A8">
            <w:r w:rsidRPr="005A67A8">
              <w:t>4</w:t>
            </w:r>
          </w:p>
        </w:tc>
        <w:tc>
          <w:tcPr>
            <w:tcW w:w="960" w:type="dxa"/>
            <w:noWrap/>
            <w:hideMark/>
          </w:tcPr>
          <w:p w14:paraId="5845157B" w14:textId="77777777" w:rsidR="005A67A8" w:rsidRPr="005A67A8" w:rsidRDefault="005A67A8" w:rsidP="005A67A8">
            <w:r w:rsidRPr="005A67A8">
              <w:t>6</w:t>
            </w:r>
          </w:p>
        </w:tc>
        <w:tc>
          <w:tcPr>
            <w:tcW w:w="960" w:type="dxa"/>
            <w:noWrap/>
            <w:hideMark/>
          </w:tcPr>
          <w:p w14:paraId="6D55F5BC" w14:textId="77777777" w:rsidR="005A67A8" w:rsidRPr="005A67A8" w:rsidRDefault="005A67A8" w:rsidP="005A67A8">
            <w:r w:rsidRPr="005A67A8">
              <w:t>7</w:t>
            </w:r>
          </w:p>
        </w:tc>
        <w:tc>
          <w:tcPr>
            <w:tcW w:w="960" w:type="dxa"/>
            <w:noWrap/>
            <w:hideMark/>
          </w:tcPr>
          <w:p w14:paraId="15C11646" w14:textId="77777777" w:rsidR="005A67A8" w:rsidRPr="005A67A8" w:rsidRDefault="005A67A8" w:rsidP="005A67A8">
            <w:r w:rsidRPr="005A67A8">
              <w:t>5</w:t>
            </w:r>
          </w:p>
        </w:tc>
      </w:tr>
      <w:tr w:rsidR="005A67A8" w:rsidRPr="005A67A8" w14:paraId="165BB5EF" w14:textId="77777777" w:rsidTr="005A67A8">
        <w:trPr>
          <w:trHeight w:val="210"/>
        </w:trPr>
        <w:tc>
          <w:tcPr>
            <w:tcW w:w="1780" w:type="dxa"/>
            <w:noWrap/>
            <w:hideMark/>
          </w:tcPr>
          <w:p w14:paraId="72576C23" w14:textId="77777777" w:rsidR="005A67A8" w:rsidRPr="005A67A8" w:rsidRDefault="005A67A8">
            <w:r w:rsidRPr="005A67A8">
              <w:t>E01025034</w:t>
            </w:r>
          </w:p>
        </w:tc>
        <w:tc>
          <w:tcPr>
            <w:tcW w:w="1560" w:type="dxa"/>
            <w:noWrap/>
            <w:hideMark/>
          </w:tcPr>
          <w:p w14:paraId="1EDC6A23" w14:textId="77777777" w:rsidR="005A67A8" w:rsidRPr="005A67A8" w:rsidRDefault="005A67A8">
            <w:r w:rsidRPr="005A67A8">
              <w:t>Hyndburn 002C</w:t>
            </w:r>
          </w:p>
        </w:tc>
        <w:tc>
          <w:tcPr>
            <w:tcW w:w="1200" w:type="dxa"/>
            <w:noWrap/>
            <w:hideMark/>
          </w:tcPr>
          <w:p w14:paraId="08E07817" w14:textId="77777777" w:rsidR="005A67A8" w:rsidRPr="005A67A8" w:rsidRDefault="005A67A8">
            <w:r w:rsidRPr="005A67A8">
              <w:t>Altham</w:t>
            </w:r>
          </w:p>
        </w:tc>
        <w:tc>
          <w:tcPr>
            <w:tcW w:w="960" w:type="dxa"/>
            <w:noWrap/>
            <w:hideMark/>
          </w:tcPr>
          <w:p w14:paraId="266BC6C0" w14:textId="77777777" w:rsidR="005A67A8" w:rsidRPr="005A67A8" w:rsidRDefault="005A67A8" w:rsidP="005A67A8">
            <w:r w:rsidRPr="005A67A8">
              <w:t>2</w:t>
            </w:r>
          </w:p>
        </w:tc>
        <w:tc>
          <w:tcPr>
            <w:tcW w:w="960" w:type="dxa"/>
            <w:noWrap/>
            <w:hideMark/>
          </w:tcPr>
          <w:p w14:paraId="0FB476AA" w14:textId="77777777" w:rsidR="005A67A8" w:rsidRPr="005A67A8" w:rsidRDefault="005A67A8" w:rsidP="005A67A8">
            <w:r w:rsidRPr="005A67A8">
              <w:t>3</w:t>
            </w:r>
          </w:p>
        </w:tc>
        <w:tc>
          <w:tcPr>
            <w:tcW w:w="960" w:type="dxa"/>
            <w:noWrap/>
            <w:hideMark/>
          </w:tcPr>
          <w:p w14:paraId="1939131B" w14:textId="77777777" w:rsidR="005A67A8" w:rsidRPr="005A67A8" w:rsidRDefault="005A67A8" w:rsidP="005A67A8">
            <w:r w:rsidRPr="005A67A8">
              <w:t>3</w:t>
            </w:r>
          </w:p>
        </w:tc>
        <w:tc>
          <w:tcPr>
            <w:tcW w:w="960" w:type="dxa"/>
            <w:noWrap/>
            <w:hideMark/>
          </w:tcPr>
          <w:p w14:paraId="3D9EA0E4" w14:textId="77777777" w:rsidR="005A67A8" w:rsidRPr="005A67A8" w:rsidRDefault="005A67A8" w:rsidP="005A67A8">
            <w:r w:rsidRPr="005A67A8">
              <w:t>3</w:t>
            </w:r>
          </w:p>
        </w:tc>
        <w:tc>
          <w:tcPr>
            <w:tcW w:w="960" w:type="dxa"/>
            <w:noWrap/>
            <w:hideMark/>
          </w:tcPr>
          <w:p w14:paraId="098F1982" w14:textId="77777777" w:rsidR="005A67A8" w:rsidRPr="005A67A8" w:rsidRDefault="005A67A8" w:rsidP="005A67A8">
            <w:r w:rsidRPr="005A67A8">
              <w:t>2</w:t>
            </w:r>
          </w:p>
        </w:tc>
        <w:tc>
          <w:tcPr>
            <w:tcW w:w="960" w:type="dxa"/>
            <w:noWrap/>
            <w:hideMark/>
          </w:tcPr>
          <w:p w14:paraId="51D23910" w14:textId="77777777" w:rsidR="005A67A8" w:rsidRPr="005A67A8" w:rsidRDefault="005A67A8" w:rsidP="005A67A8">
            <w:r w:rsidRPr="005A67A8">
              <w:t>2</w:t>
            </w:r>
          </w:p>
        </w:tc>
        <w:tc>
          <w:tcPr>
            <w:tcW w:w="960" w:type="dxa"/>
            <w:noWrap/>
            <w:hideMark/>
          </w:tcPr>
          <w:p w14:paraId="08E3F46E" w14:textId="77777777" w:rsidR="005A67A8" w:rsidRPr="005A67A8" w:rsidRDefault="005A67A8" w:rsidP="005A67A8">
            <w:r w:rsidRPr="005A67A8">
              <w:t>8</w:t>
            </w:r>
          </w:p>
        </w:tc>
        <w:tc>
          <w:tcPr>
            <w:tcW w:w="960" w:type="dxa"/>
            <w:noWrap/>
            <w:hideMark/>
          </w:tcPr>
          <w:p w14:paraId="2C24DCBB" w14:textId="77777777" w:rsidR="005A67A8" w:rsidRPr="005A67A8" w:rsidRDefault="005A67A8" w:rsidP="005A67A8">
            <w:r w:rsidRPr="005A67A8">
              <w:t>1</w:t>
            </w:r>
          </w:p>
        </w:tc>
        <w:tc>
          <w:tcPr>
            <w:tcW w:w="960" w:type="dxa"/>
            <w:noWrap/>
            <w:hideMark/>
          </w:tcPr>
          <w:p w14:paraId="1D34B153" w14:textId="77777777" w:rsidR="005A67A8" w:rsidRPr="005A67A8" w:rsidRDefault="005A67A8" w:rsidP="005A67A8">
            <w:r w:rsidRPr="005A67A8">
              <w:t>3</w:t>
            </w:r>
          </w:p>
        </w:tc>
        <w:tc>
          <w:tcPr>
            <w:tcW w:w="960" w:type="dxa"/>
            <w:noWrap/>
            <w:hideMark/>
          </w:tcPr>
          <w:p w14:paraId="09838A42" w14:textId="77777777" w:rsidR="005A67A8" w:rsidRPr="005A67A8" w:rsidRDefault="005A67A8" w:rsidP="005A67A8">
            <w:r w:rsidRPr="005A67A8">
              <w:t>7</w:t>
            </w:r>
          </w:p>
        </w:tc>
      </w:tr>
      <w:tr w:rsidR="005A67A8" w:rsidRPr="005A67A8" w14:paraId="37566617" w14:textId="77777777" w:rsidTr="005A67A8">
        <w:trPr>
          <w:trHeight w:val="210"/>
        </w:trPr>
        <w:tc>
          <w:tcPr>
            <w:tcW w:w="1780" w:type="dxa"/>
            <w:noWrap/>
            <w:hideMark/>
          </w:tcPr>
          <w:p w14:paraId="575F4EE4" w14:textId="77777777" w:rsidR="005A67A8" w:rsidRPr="005A67A8" w:rsidRDefault="005A67A8">
            <w:r w:rsidRPr="005A67A8">
              <w:t>E01025035</w:t>
            </w:r>
          </w:p>
        </w:tc>
        <w:tc>
          <w:tcPr>
            <w:tcW w:w="1560" w:type="dxa"/>
            <w:noWrap/>
            <w:hideMark/>
          </w:tcPr>
          <w:p w14:paraId="7E625C16" w14:textId="77777777" w:rsidR="005A67A8" w:rsidRPr="005A67A8" w:rsidRDefault="005A67A8">
            <w:r w:rsidRPr="005A67A8">
              <w:t>Hyndburn 008A</w:t>
            </w:r>
          </w:p>
        </w:tc>
        <w:tc>
          <w:tcPr>
            <w:tcW w:w="1200" w:type="dxa"/>
            <w:noWrap/>
            <w:hideMark/>
          </w:tcPr>
          <w:p w14:paraId="1E73C157" w14:textId="77777777" w:rsidR="005A67A8" w:rsidRPr="005A67A8" w:rsidRDefault="005A67A8">
            <w:r w:rsidRPr="005A67A8">
              <w:t>Barnfield</w:t>
            </w:r>
          </w:p>
        </w:tc>
        <w:tc>
          <w:tcPr>
            <w:tcW w:w="960" w:type="dxa"/>
            <w:noWrap/>
            <w:hideMark/>
          </w:tcPr>
          <w:p w14:paraId="59CCD822" w14:textId="77777777" w:rsidR="005A67A8" w:rsidRPr="005A67A8" w:rsidRDefault="005A67A8" w:rsidP="005A67A8">
            <w:r w:rsidRPr="005A67A8">
              <w:t>4</w:t>
            </w:r>
          </w:p>
        </w:tc>
        <w:tc>
          <w:tcPr>
            <w:tcW w:w="960" w:type="dxa"/>
            <w:noWrap/>
            <w:hideMark/>
          </w:tcPr>
          <w:p w14:paraId="228C6CAA" w14:textId="77777777" w:rsidR="005A67A8" w:rsidRPr="005A67A8" w:rsidRDefault="005A67A8" w:rsidP="005A67A8">
            <w:r w:rsidRPr="005A67A8">
              <w:t>5</w:t>
            </w:r>
          </w:p>
        </w:tc>
        <w:tc>
          <w:tcPr>
            <w:tcW w:w="960" w:type="dxa"/>
            <w:noWrap/>
            <w:hideMark/>
          </w:tcPr>
          <w:p w14:paraId="00318736" w14:textId="77777777" w:rsidR="005A67A8" w:rsidRPr="005A67A8" w:rsidRDefault="005A67A8" w:rsidP="005A67A8">
            <w:r w:rsidRPr="005A67A8">
              <w:t>3</w:t>
            </w:r>
          </w:p>
        </w:tc>
        <w:tc>
          <w:tcPr>
            <w:tcW w:w="960" w:type="dxa"/>
            <w:noWrap/>
            <w:hideMark/>
          </w:tcPr>
          <w:p w14:paraId="071CC0BE" w14:textId="77777777" w:rsidR="005A67A8" w:rsidRPr="005A67A8" w:rsidRDefault="005A67A8" w:rsidP="005A67A8">
            <w:r w:rsidRPr="005A67A8">
              <w:t>6</w:t>
            </w:r>
          </w:p>
        </w:tc>
        <w:tc>
          <w:tcPr>
            <w:tcW w:w="960" w:type="dxa"/>
            <w:noWrap/>
            <w:hideMark/>
          </w:tcPr>
          <w:p w14:paraId="751AED3F" w14:textId="77777777" w:rsidR="005A67A8" w:rsidRPr="005A67A8" w:rsidRDefault="005A67A8" w:rsidP="005A67A8">
            <w:r w:rsidRPr="005A67A8">
              <w:t>2</w:t>
            </w:r>
          </w:p>
        </w:tc>
        <w:tc>
          <w:tcPr>
            <w:tcW w:w="960" w:type="dxa"/>
            <w:noWrap/>
            <w:hideMark/>
          </w:tcPr>
          <w:p w14:paraId="250C8942" w14:textId="77777777" w:rsidR="005A67A8" w:rsidRPr="005A67A8" w:rsidRDefault="005A67A8" w:rsidP="005A67A8">
            <w:r w:rsidRPr="005A67A8">
              <w:t>3</w:t>
            </w:r>
          </w:p>
        </w:tc>
        <w:tc>
          <w:tcPr>
            <w:tcW w:w="960" w:type="dxa"/>
            <w:noWrap/>
            <w:hideMark/>
          </w:tcPr>
          <w:p w14:paraId="6CFA6B96" w14:textId="77777777" w:rsidR="005A67A8" w:rsidRPr="005A67A8" w:rsidRDefault="005A67A8" w:rsidP="005A67A8">
            <w:r w:rsidRPr="005A67A8">
              <w:t>8</w:t>
            </w:r>
          </w:p>
        </w:tc>
        <w:tc>
          <w:tcPr>
            <w:tcW w:w="960" w:type="dxa"/>
            <w:noWrap/>
            <w:hideMark/>
          </w:tcPr>
          <w:p w14:paraId="5DFE45B0" w14:textId="77777777" w:rsidR="005A67A8" w:rsidRPr="005A67A8" w:rsidRDefault="005A67A8" w:rsidP="005A67A8">
            <w:r w:rsidRPr="005A67A8">
              <w:t>5</w:t>
            </w:r>
          </w:p>
        </w:tc>
        <w:tc>
          <w:tcPr>
            <w:tcW w:w="960" w:type="dxa"/>
            <w:noWrap/>
            <w:hideMark/>
          </w:tcPr>
          <w:p w14:paraId="7EC455DD" w14:textId="77777777" w:rsidR="005A67A8" w:rsidRPr="005A67A8" w:rsidRDefault="005A67A8" w:rsidP="005A67A8">
            <w:r w:rsidRPr="005A67A8">
              <w:t>6</w:t>
            </w:r>
          </w:p>
        </w:tc>
        <w:tc>
          <w:tcPr>
            <w:tcW w:w="960" w:type="dxa"/>
            <w:noWrap/>
            <w:hideMark/>
          </w:tcPr>
          <w:p w14:paraId="4D1EF2D3" w14:textId="77777777" w:rsidR="005A67A8" w:rsidRPr="005A67A8" w:rsidRDefault="005A67A8" w:rsidP="005A67A8">
            <w:r w:rsidRPr="005A67A8">
              <w:t>5</w:t>
            </w:r>
          </w:p>
        </w:tc>
      </w:tr>
      <w:tr w:rsidR="005A67A8" w:rsidRPr="005A67A8" w14:paraId="4996D112" w14:textId="77777777" w:rsidTr="005A67A8">
        <w:trPr>
          <w:trHeight w:val="210"/>
        </w:trPr>
        <w:tc>
          <w:tcPr>
            <w:tcW w:w="1780" w:type="dxa"/>
            <w:noWrap/>
            <w:hideMark/>
          </w:tcPr>
          <w:p w14:paraId="0897473E" w14:textId="77777777" w:rsidR="005A67A8" w:rsidRPr="005A67A8" w:rsidRDefault="005A67A8">
            <w:r w:rsidRPr="005A67A8">
              <w:t>E01025036</w:t>
            </w:r>
          </w:p>
        </w:tc>
        <w:tc>
          <w:tcPr>
            <w:tcW w:w="1560" w:type="dxa"/>
            <w:noWrap/>
            <w:hideMark/>
          </w:tcPr>
          <w:p w14:paraId="2E94C28F" w14:textId="77777777" w:rsidR="005A67A8" w:rsidRPr="005A67A8" w:rsidRDefault="005A67A8">
            <w:r w:rsidRPr="005A67A8">
              <w:t>Hyndburn 008B</w:t>
            </w:r>
          </w:p>
        </w:tc>
        <w:tc>
          <w:tcPr>
            <w:tcW w:w="1200" w:type="dxa"/>
            <w:noWrap/>
            <w:hideMark/>
          </w:tcPr>
          <w:p w14:paraId="1BF8A1CC" w14:textId="77777777" w:rsidR="005A67A8" w:rsidRPr="005A67A8" w:rsidRDefault="005A67A8">
            <w:r w:rsidRPr="005A67A8">
              <w:t>Barnfield</w:t>
            </w:r>
          </w:p>
        </w:tc>
        <w:tc>
          <w:tcPr>
            <w:tcW w:w="960" w:type="dxa"/>
            <w:noWrap/>
            <w:hideMark/>
          </w:tcPr>
          <w:p w14:paraId="2C63CB47" w14:textId="77777777" w:rsidR="005A67A8" w:rsidRPr="005A67A8" w:rsidRDefault="005A67A8" w:rsidP="005A67A8">
            <w:r w:rsidRPr="005A67A8">
              <w:t>1</w:t>
            </w:r>
          </w:p>
        </w:tc>
        <w:tc>
          <w:tcPr>
            <w:tcW w:w="960" w:type="dxa"/>
            <w:noWrap/>
            <w:hideMark/>
          </w:tcPr>
          <w:p w14:paraId="0B7A372A" w14:textId="77777777" w:rsidR="005A67A8" w:rsidRPr="005A67A8" w:rsidRDefault="005A67A8" w:rsidP="005A67A8">
            <w:r w:rsidRPr="005A67A8">
              <w:t>1</w:t>
            </w:r>
          </w:p>
        </w:tc>
        <w:tc>
          <w:tcPr>
            <w:tcW w:w="960" w:type="dxa"/>
            <w:noWrap/>
            <w:hideMark/>
          </w:tcPr>
          <w:p w14:paraId="6AA30DF6" w14:textId="77777777" w:rsidR="005A67A8" w:rsidRPr="005A67A8" w:rsidRDefault="005A67A8" w:rsidP="005A67A8">
            <w:r w:rsidRPr="005A67A8">
              <w:t>1</w:t>
            </w:r>
          </w:p>
        </w:tc>
        <w:tc>
          <w:tcPr>
            <w:tcW w:w="960" w:type="dxa"/>
            <w:noWrap/>
            <w:hideMark/>
          </w:tcPr>
          <w:p w14:paraId="0C5B900E" w14:textId="77777777" w:rsidR="005A67A8" w:rsidRPr="005A67A8" w:rsidRDefault="005A67A8" w:rsidP="005A67A8">
            <w:r w:rsidRPr="005A67A8">
              <w:t>2</w:t>
            </w:r>
          </w:p>
        </w:tc>
        <w:tc>
          <w:tcPr>
            <w:tcW w:w="960" w:type="dxa"/>
            <w:noWrap/>
            <w:hideMark/>
          </w:tcPr>
          <w:p w14:paraId="2FB21BF7" w14:textId="77777777" w:rsidR="005A67A8" w:rsidRPr="005A67A8" w:rsidRDefault="005A67A8" w:rsidP="005A67A8">
            <w:r w:rsidRPr="005A67A8">
              <w:t>1</w:t>
            </w:r>
          </w:p>
        </w:tc>
        <w:tc>
          <w:tcPr>
            <w:tcW w:w="960" w:type="dxa"/>
            <w:noWrap/>
            <w:hideMark/>
          </w:tcPr>
          <w:p w14:paraId="5EE79304" w14:textId="77777777" w:rsidR="005A67A8" w:rsidRPr="005A67A8" w:rsidRDefault="005A67A8" w:rsidP="005A67A8">
            <w:r w:rsidRPr="005A67A8">
              <w:t>1</w:t>
            </w:r>
          </w:p>
        </w:tc>
        <w:tc>
          <w:tcPr>
            <w:tcW w:w="960" w:type="dxa"/>
            <w:noWrap/>
            <w:hideMark/>
          </w:tcPr>
          <w:p w14:paraId="74FFFACF" w14:textId="77777777" w:rsidR="005A67A8" w:rsidRPr="005A67A8" w:rsidRDefault="005A67A8" w:rsidP="005A67A8">
            <w:r w:rsidRPr="005A67A8">
              <w:t>5</w:t>
            </w:r>
          </w:p>
        </w:tc>
        <w:tc>
          <w:tcPr>
            <w:tcW w:w="960" w:type="dxa"/>
            <w:noWrap/>
            <w:hideMark/>
          </w:tcPr>
          <w:p w14:paraId="1B45C8CB" w14:textId="77777777" w:rsidR="005A67A8" w:rsidRPr="005A67A8" w:rsidRDefault="005A67A8" w:rsidP="005A67A8">
            <w:r w:rsidRPr="005A67A8">
              <w:t>1</w:t>
            </w:r>
          </w:p>
        </w:tc>
        <w:tc>
          <w:tcPr>
            <w:tcW w:w="960" w:type="dxa"/>
            <w:noWrap/>
            <w:hideMark/>
          </w:tcPr>
          <w:p w14:paraId="5F34D54F" w14:textId="77777777" w:rsidR="005A67A8" w:rsidRPr="005A67A8" w:rsidRDefault="005A67A8" w:rsidP="005A67A8">
            <w:r w:rsidRPr="005A67A8">
              <w:t>1</w:t>
            </w:r>
          </w:p>
        </w:tc>
        <w:tc>
          <w:tcPr>
            <w:tcW w:w="960" w:type="dxa"/>
            <w:noWrap/>
            <w:hideMark/>
          </w:tcPr>
          <w:p w14:paraId="08E80F12" w14:textId="77777777" w:rsidR="005A67A8" w:rsidRPr="005A67A8" w:rsidRDefault="005A67A8" w:rsidP="005A67A8">
            <w:r w:rsidRPr="005A67A8">
              <w:t>3</w:t>
            </w:r>
          </w:p>
        </w:tc>
      </w:tr>
      <w:tr w:rsidR="005A67A8" w:rsidRPr="005A67A8" w14:paraId="04DF8D3E" w14:textId="77777777" w:rsidTr="005A67A8">
        <w:trPr>
          <w:trHeight w:val="210"/>
        </w:trPr>
        <w:tc>
          <w:tcPr>
            <w:tcW w:w="1780" w:type="dxa"/>
            <w:noWrap/>
            <w:hideMark/>
          </w:tcPr>
          <w:p w14:paraId="39DF8DD6" w14:textId="77777777" w:rsidR="005A67A8" w:rsidRPr="005A67A8" w:rsidRDefault="005A67A8">
            <w:r w:rsidRPr="005A67A8">
              <w:t>E01025037</w:t>
            </w:r>
          </w:p>
        </w:tc>
        <w:tc>
          <w:tcPr>
            <w:tcW w:w="1560" w:type="dxa"/>
            <w:noWrap/>
            <w:hideMark/>
          </w:tcPr>
          <w:p w14:paraId="50510C9A" w14:textId="77777777" w:rsidR="005A67A8" w:rsidRPr="005A67A8" w:rsidRDefault="005A67A8">
            <w:r w:rsidRPr="005A67A8">
              <w:t>Hyndburn 008C</w:t>
            </w:r>
          </w:p>
        </w:tc>
        <w:tc>
          <w:tcPr>
            <w:tcW w:w="1200" w:type="dxa"/>
            <w:noWrap/>
            <w:hideMark/>
          </w:tcPr>
          <w:p w14:paraId="505D632F" w14:textId="77777777" w:rsidR="005A67A8" w:rsidRPr="005A67A8" w:rsidRDefault="005A67A8">
            <w:r w:rsidRPr="005A67A8">
              <w:t>Barnfield</w:t>
            </w:r>
          </w:p>
        </w:tc>
        <w:tc>
          <w:tcPr>
            <w:tcW w:w="960" w:type="dxa"/>
            <w:noWrap/>
            <w:hideMark/>
          </w:tcPr>
          <w:p w14:paraId="29B2E9DA" w14:textId="77777777" w:rsidR="005A67A8" w:rsidRPr="005A67A8" w:rsidRDefault="005A67A8" w:rsidP="005A67A8">
            <w:r w:rsidRPr="005A67A8">
              <w:t>2</w:t>
            </w:r>
          </w:p>
        </w:tc>
        <w:tc>
          <w:tcPr>
            <w:tcW w:w="960" w:type="dxa"/>
            <w:noWrap/>
            <w:hideMark/>
          </w:tcPr>
          <w:p w14:paraId="4FC219A0" w14:textId="77777777" w:rsidR="005A67A8" w:rsidRPr="005A67A8" w:rsidRDefault="005A67A8" w:rsidP="005A67A8">
            <w:r w:rsidRPr="005A67A8">
              <w:t>2</w:t>
            </w:r>
          </w:p>
        </w:tc>
        <w:tc>
          <w:tcPr>
            <w:tcW w:w="960" w:type="dxa"/>
            <w:noWrap/>
            <w:hideMark/>
          </w:tcPr>
          <w:p w14:paraId="645DE943" w14:textId="77777777" w:rsidR="005A67A8" w:rsidRPr="005A67A8" w:rsidRDefault="005A67A8" w:rsidP="005A67A8">
            <w:r w:rsidRPr="005A67A8">
              <w:t>2</w:t>
            </w:r>
          </w:p>
        </w:tc>
        <w:tc>
          <w:tcPr>
            <w:tcW w:w="960" w:type="dxa"/>
            <w:noWrap/>
            <w:hideMark/>
          </w:tcPr>
          <w:p w14:paraId="01CA9CE4" w14:textId="77777777" w:rsidR="005A67A8" w:rsidRPr="005A67A8" w:rsidRDefault="005A67A8" w:rsidP="005A67A8">
            <w:r w:rsidRPr="005A67A8">
              <w:t>5</w:t>
            </w:r>
          </w:p>
        </w:tc>
        <w:tc>
          <w:tcPr>
            <w:tcW w:w="960" w:type="dxa"/>
            <w:noWrap/>
            <w:hideMark/>
          </w:tcPr>
          <w:p w14:paraId="54F1795E" w14:textId="77777777" w:rsidR="005A67A8" w:rsidRPr="005A67A8" w:rsidRDefault="005A67A8" w:rsidP="005A67A8">
            <w:r w:rsidRPr="005A67A8">
              <w:t>3</w:t>
            </w:r>
          </w:p>
        </w:tc>
        <w:tc>
          <w:tcPr>
            <w:tcW w:w="960" w:type="dxa"/>
            <w:noWrap/>
            <w:hideMark/>
          </w:tcPr>
          <w:p w14:paraId="4ECA013D" w14:textId="77777777" w:rsidR="005A67A8" w:rsidRPr="005A67A8" w:rsidRDefault="005A67A8" w:rsidP="005A67A8">
            <w:r w:rsidRPr="005A67A8">
              <w:t>2</w:t>
            </w:r>
          </w:p>
        </w:tc>
        <w:tc>
          <w:tcPr>
            <w:tcW w:w="960" w:type="dxa"/>
            <w:noWrap/>
            <w:hideMark/>
          </w:tcPr>
          <w:p w14:paraId="369E55D4" w14:textId="77777777" w:rsidR="005A67A8" w:rsidRPr="005A67A8" w:rsidRDefault="005A67A8" w:rsidP="005A67A8">
            <w:r w:rsidRPr="005A67A8">
              <w:t>6</w:t>
            </w:r>
          </w:p>
        </w:tc>
        <w:tc>
          <w:tcPr>
            <w:tcW w:w="960" w:type="dxa"/>
            <w:noWrap/>
            <w:hideMark/>
          </w:tcPr>
          <w:p w14:paraId="734F8998" w14:textId="77777777" w:rsidR="005A67A8" w:rsidRPr="005A67A8" w:rsidRDefault="005A67A8" w:rsidP="005A67A8">
            <w:r w:rsidRPr="005A67A8">
              <w:t>1</w:t>
            </w:r>
          </w:p>
        </w:tc>
        <w:tc>
          <w:tcPr>
            <w:tcW w:w="960" w:type="dxa"/>
            <w:noWrap/>
            <w:hideMark/>
          </w:tcPr>
          <w:p w14:paraId="4D5E756B" w14:textId="77777777" w:rsidR="005A67A8" w:rsidRPr="005A67A8" w:rsidRDefault="005A67A8" w:rsidP="005A67A8">
            <w:r w:rsidRPr="005A67A8">
              <w:t>1</w:t>
            </w:r>
          </w:p>
        </w:tc>
        <w:tc>
          <w:tcPr>
            <w:tcW w:w="960" w:type="dxa"/>
            <w:noWrap/>
            <w:hideMark/>
          </w:tcPr>
          <w:p w14:paraId="3BCB649C" w14:textId="77777777" w:rsidR="005A67A8" w:rsidRPr="005A67A8" w:rsidRDefault="005A67A8" w:rsidP="005A67A8">
            <w:r w:rsidRPr="005A67A8">
              <w:t>5</w:t>
            </w:r>
          </w:p>
        </w:tc>
      </w:tr>
      <w:tr w:rsidR="005A67A8" w:rsidRPr="005A67A8" w14:paraId="76FC07AE" w14:textId="77777777" w:rsidTr="005A67A8">
        <w:trPr>
          <w:trHeight w:val="210"/>
        </w:trPr>
        <w:tc>
          <w:tcPr>
            <w:tcW w:w="1780" w:type="dxa"/>
            <w:noWrap/>
            <w:hideMark/>
          </w:tcPr>
          <w:p w14:paraId="0F3A2B77" w14:textId="77777777" w:rsidR="005A67A8" w:rsidRPr="005A67A8" w:rsidRDefault="005A67A8">
            <w:r w:rsidRPr="005A67A8">
              <w:t>E01025038</w:t>
            </w:r>
          </w:p>
        </w:tc>
        <w:tc>
          <w:tcPr>
            <w:tcW w:w="1560" w:type="dxa"/>
            <w:noWrap/>
            <w:hideMark/>
          </w:tcPr>
          <w:p w14:paraId="45A22097" w14:textId="77777777" w:rsidR="005A67A8" w:rsidRPr="005A67A8" w:rsidRDefault="005A67A8">
            <w:r w:rsidRPr="005A67A8">
              <w:t>Hyndburn 008D</w:t>
            </w:r>
          </w:p>
        </w:tc>
        <w:tc>
          <w:tcPr>
            <w:tcW w:w="1200" w:type="dxa"/>
            <w:noWrap/>
            <w:hideMark/>
          </w:tcPr>
          <w:p w14:paraId="77C908B5" w14:textId="77777777" w:rsidR="005A67A8" w:rsidRPr="005A67A8" w:rsidRDefault="005A67A8">
            <w:proofErr w:type="spellStart"/>
            <w:r w:rsidRPr="005A67A8">
              <w:t>Baxenden</w:t>
            </w:r>
            <w:proofErr w:type="spellEnd"/>
          </w:p>
        </w:tc>
        <w:tc>
          <w:tcPr>
            <w:tcW w:w="960" w:type="dxa"/>
            <w:noWrap/>
            <w:hideMark/>
          </w:tcPr>
          <w:p w14:paraId="76600F5F" w14:textId="77777777" w:rsidR="005A67A8" w:rsidRPr="005A67A8" w:rsidRDefault="005A67A8" w:rsidP="005A67A8">
            <w:r w:rsidRPr="005A67A8">
              <w:t>8</w:t>
            </w:r>
          </w:p>
        </w:tc>
        <w:tc>
          <w:tcPr>
            <w:tcW w:w="960" w:type="dxa"/>
            <w:noWrap/>
            <w:hideMark/>
          </w:tcPr>
          <w:p w14:paraId="5E3AA705" w14:textId="77777777" w:rsidR="005A67A8" w:rsidRPr="005A67A8" w:rsidRDefault="005A67A8" w:rsidP="005A67A8">
            <w:r w:rsidRPr="005A67A8">
              <w:t>8</w:t>
            </w:r>
          </w:p>
        </w:tc>
        <w:tc>
          <w:tcPr>
            <w:tcW w:w="960" w:type="dxa"/>
            <w:noWrap/>
            <w:hideMark/>
          </w:tcPr>
          <w:p w14:paraId="0B26603C" w14:textId="77777777" w:rsidR="005A67A8" w:rsidRPr="005A67A8" w:rsidRDefault="005A67A8" w:rsidP="005A67A8">
            <w:r w:rsidRPr="005A67A8">
              <w:t>8</w:t>
            </w:r>
          </w:p>
        </w:tc>
        <w:tc>
          <w:tcPr>
            <w:tcW w:w="960" w:type="dxa"/>
            <w:noWrap/>
            <w:hideMark/>
          </w:tcPr>
          <w:p w14:paraId="5A46831C" w14:textId="77777777" w:rsidR="005A67A8" w:rsidRPr="005A67A8" w:rsidRDefault="005A67A8" w:rsidP="005A67A8">
            <w:r w:rsidRPr="005A67A8">
              <w:t>9</w:t>
            </w:r>
          </w:p>
        </w:tc>
        <w:tc>
          <w:tcPr>
            <w:tcW w:w="960" w:type="dxa"/>
            <w:noWrap/>
            <w:hideMark/>
          </w:tcPr>
          <w:p w14:paraId="5E20B48B" w14:textId="77777777" w:rsidR="005A67A8" w:rsidRPr="005A67A8" w:rsidRDefault="005A67A8" w:rsidP="005A67A8">
            <w:r w:rsidRPr="005A67A8">
              <w:t>5</w:t>
            </w:r>
          </w:p>
        </w:tc>
        <w:tc>
          <w:tcPr>
            <w:tcW w:w="960" w:type="dxa"/>
            <w:noWrap/>
            <w:hideMark/>
          </w:tcPr>
          <w:p w14:paraId="27BB1D80" w14:textId="77777777" w:rsidR="005A67A8" w:rsidRPr="005A67A8" w:rsidRDefault="005A67A8" w:rsidP="005A67A8">
            <w:r w:rsidRPr="005A67A8">
              <w:t>9</w:t>
            </w:r>
          </w:p>
        </w:tc>
        <w:tc>
          <w:tcPr>
            <w:tcW w:w="960" w:type="dxa"/>
            <w:noWrap/>
            <w:hideMark/>
          </w:tcPr>
          <w:p w14:paraId="50678BA5" w14:textId="77777777" w:rsidR="005A67A8" w:rsidRPr="005A67A8" w:rsidRDefault="005A67A8" w:rsidP="005A67A8">
            <w:r w:rsidRPr="005A67A8">
              <w:t>6</w:t>
            </w:r>
          </w:p>
        </w:tc>
        <w:tc>
          <w:tcPr>
            <w:tcW w:w="960" w:type="dxa"/>
            <w:noWrap/>
            <w:hideMark/>
          </w:tcPr>
          <w:p w14:paraId="2F65121B" w14:textId="77777777" w:rsidR="005A67A8" w:rsidRPr="005A67A8" w:rsidRDefault="005A67A8" w:rsidP="005A67A8">
            <w:r w:rsidRPr="005A67A8">
              <w:t>6</w:t>
            </w:r>
          </w:p>
        </w:tc>
        <w:tc>
          <w:tcPr>
            <w:tcW w:w="960" w:type="dxa"/>
            <w:noWrap/>
            <w:hideMark/>
          </w:tcPr>
          <w:p w14:paraId="5374757E" w14:textId="77777777" w:rsidR="005A67A8" w:rsidRPr="005A67A8" w:rsidRDefault="005A67A8" w:rsidP="005A67A8">
            <w:r w:rsidRPr="005A67A8">
              <w:t>8</w:t>
            </w:r>
          </w:p>
        </w:tc>
        <w:tc>
          <w:tcPr>
            <w:tcW w:w="960" w:type="dxa"/>
            <w:noWrap/>
            <w:hideMark/>
          </w:tcPr>
          <w:p w14:paraId="35CC3AE4" w14:textId="77777777" w:rsidR="005A67A8" w:rsidRPr="005A67A8" w:rsidRDefault="005A67A8" w:rsidP="005A67A8">
            <w:r w:rsidRPr="005A67A8">
              <w:t>7</w:t>
            </w:r>
          </w:p>
        </w:tc>
      </w:tr>
      <w:tr w:rsidR="005A67A8" w:rsidRPr="005A67A8" w14:paraId="67A72906" w14:textId="77777777" w:rsidTr="005A67A8">
        <w:trPr>
          <w:trHeight w:val="210"/>
        </w:trPr>
        <w:tc>
          <w:tcPr>
            <w:tcW w:w="1780" w:type="dxa"/>
            <w:noWrap/>
            <w:hideMark/>
          </w:tcPr>
          <w:p w14:paraId="3DBF89A9" w14:textId="77777777" w:rsidR="005A67A8" w:rsidRPr="005A67A8" w:rsidRDefault="005A67A8">
            <w:r w:rsidRPr="005A67A8">
              <w:t>E01025039</w:t>
            </w:r>
          </w:p>
        </w:tc>
        <w:tc>
          <w:tcPr>
            <w:tcW w:w="1560" w:type="dxa"/>
            <w:noWrap/>
            <w:hideMark/>
          </w:tcPr>
          <w:p w14:paraId="7810DE26" w14:textId="77777777" w:rsidR="005A67A8" w:rsidRPr="005A67A8" w:rsidRDefault="005A67A8">
            <w:r w:rsidRPr="005A67A8">
              <w:t>Hyndburn 008E</w:t>
            </w:r>
          </w:p>
        </w:tc>
        <w:tc>
          <w:tcPr>
            <w:tcW w:w="1200" w:type="dxa"/>
            <w:noWrap/>
            <w:hideMark/>
          </w:tcPr>
          <w:p w14:paraId="3A275C21" w14:textId="77777777" w:rsidR="005A67A8" w:rsidRPr="005A67A8" w:rsidRDefault="005A67A8">
            <w:proofErr w:type="spellStart"/>
            <w:r w:rsidRPr="005A67A8">
              <w:t>Baxenden</w:t>
            </w:r>
            <w:proofErr w:type="spellEnd"/>
          </w:p>
        </w:tc>
        <w:tc>
          <w:tcPr>
            <w:tcW w:w="960" w:type="dxa"/>
            <w:noWrap/>
            <w:hideMark/>
          </w:tcPr>
          <w:p w14:paraId="13062F70" w14:textId="77777777" w:rsidR="005A67A8" w:rsidRPr="005A67A8" w:rsidRDefault="005A67A8" w:rsidP="005A67A8">
            <w:r w:rsidRPr="005A67A8">
              <w:t>8</w:t>
            </w:r>
          </w:p>
        </w:tc>
        <w:tc>
          <w:tcPr>
            <w:tcW w:w="960" w:type="dxa"/>
            <w:noWrap/>
            <w:hideMark/>
          </w:tcPr>
          <w:p w14:paraId="6F56A02B" w14:textId="77777777" w:rsidR="005A67A8" w:rsidRPr="005A67A8" w:rsidRDefault="005A67A8" w:rsidP="005A67A8">
            <w:r w:rsidRPr="005A67A8">
              <w:t>9</w:t>
            </w:r>
          </w:p>
        </w:tc>
        <w:tc>
          <w:tcPr>
            <w:tcW w:w="960" w:type="dxa"/>
            <w:noWrap/>
            <w:hideMark/>
          </w:tcPr>
          <w:p w14:paraId="694B9292" w14:textId="77777777" w:rsidR="005A67A8" w:rsidRPr="005A67A8" w:rsidRDefault="005A67A8" w:rsidP="005A67A8">
            <w:r w:rsidRPr="005A67A8">
              <w:t>9</w:t>
            </w:r>
          </w:p>
        </w:tc>
        <w:tc>
          <w:tcPr>
            <w:tcW w:w="960" w:type="dxa"/>
            <w:noWrap/>
            <w:hideMark/>
          </w:tcPr>
          <w:p w14:paraId="1342DC1C" w14:textId="77777777" w:rsidR="005A67A8" w:rsidRPr="005A67A8" w:rsidRDefault="005A67A8" w:rsidP="005A67A8">
            <w:r w:rsidRPr="005A67A8">
              <w:t>8</w:t>
            </w:r>
          </w:p>
        </w:tc>
        <w:tc>
          <w:tcPr>
            <w:tcW w:w="960" w:type="dxa"/>
            <w:noWrap/>
            <w:hideMark/>
          </w:tcPr>
          <w:p w14:paraId="0702D553" w14:textId="77777777" w:rsidR="005A67A8" w:rsidRPr="005A67A8" w:rsidRDefault="005A67A8" w:rsidP="005A67A8">
            <w:r w:rsidRPr="005A67A8">
              <w:t>7</w:t>
            </w:r>
          </w:p>
        </w:tc>
        <w:tc>
          <w:tcPr>
            <w:tcW w:w="960" w:type="dxa"/>
            <w:noWrap/>
            <w:hideMark/>
          </w:tcPr>
          <w:p w14:paraId="12BE78A5" w14:textId="77777777" w:rsidR="005A67A8" w:rsidRPr="005A67A8" w:rsidRDefault="005A67A8" w:rsidP="005A67A8">
            <w:r w:rsidRPr="005A67A8">
              <w:t>7</w:t>
            </w:r>
          </w:p>
        </w:tc>
        <w:tc>
          <w:tcPr>
            <w:tcW w:w="960" w:type="dxa"/>
            <w:noWrap/>
            <w:hideMark/>
          </w:tcPr>
          <w:p w14:paraId="3026FADB" w14:textId="77777777" w:rsidR="005A67A8" w:rsidRPr="005A67A8" w:rsidRDefault="005A67A8" w:rsidP="005A67A8">
            <w:r w:rsidRPr="005A67A8">
              <w:t>4</w:t>
            </w:r>
          </w:p>
        </w:tc>
        <w:tc>
          <w:tcPr>
            <w:tcW w:w="960" w:type="dxa"/>
            <w:noWrap/>
            <w:hideMark/>
          </w:tcPr>
          <w:p w14:paraId="62725DC7" w14:textId="77777777" w:rsidR="005A67A8" w:rsidRPr="005A67A8" w:rsidRDefault="005A67A8" w:rsidP="005A67A8">
            <w:r w:rsidRPr="005A67A8">
              <w:t>5</w:t>
            </w:r>
          </w:p>
        </w:tc>
        <w:tc>
          <w:tcPr>
            <w:tcW w:w="960" w:type="dxa"/>
            <w:noWrap/>
            <w:hideMark/>
          </w:tcPr>
          <w:p w14:paraId="58847A4D" w14:textId="77777777" w:rsidR="005A67A8" w:rsidRPr="005A67A8" w:rsidRDefault="005A67A8" w:rsidP="005A67A8">
            <w:r w:rsidRPr="005A67A8">
              <w:t>8</w:t>
            </w:r>
          </w:p>
        </w:tc>
        <w:tc>
          <w:tcPr>
            <w:tcW w:w="960" w:type="dxa"/>
            <w:noWrap/>
            <w:hideMark/>
          </w:tcPr>
          <w:p w14:paraId="6D54C219" w14:textId="77777777" w:rsidR="005A67A8" w:rsidRPr="005A67A8" w:rsidRDefault="005A67A8" w:rsidP="005A67A8">
            <w:r w:rsidRPr="005A67A8">
              <w:t>9</w:t>
            </w:r>
          </w:p>
        </w:tc>
      </w:tr>
      <w:tr w:rsidR="005A67A8" w:rsidRPr="005A67A8" w14:paraId="33705C98" w14:textId="77777777" w:rsidTr="005A67A8">
        <w:trPr>
          <w:trHeight w:val="210"/>
        </w:trPr>
        <w:tc>
          <w:tcPr>
            <w:tcW w:w="1780" w:type="dxa"/>
            <w:noWrap/>
            <w:hideMark/>
          </w:tcPr>
          <w:p w14:paraId="12DDB368" w14:textId="77777777" w:rsidR="005A67A8" w:rsidRPr="005A67A8" w:rsidRDefault="005A67A8">
            <w:r w:rsidRPr="005A67A8">
              <w:t>E01025040</w:t>
            </w:r>
          </w:p>
        </w:tc>
        <w:tc>
          <w:tcPr>
            <w:tcW w:w="1560" w:type="dxa"/>
            <w:noWrap/>
            <w:hideMark/>
          </w:tcPr>
          <w:p w14:paraId="5E3869A8" w14:textId="77777777" w:rsidR="005A67A8" w:rsidRPr="005A67A8" w:rsidRDefault="005A67A8">
            <w:r w:rsidRPr="005A67A8">
              <w:t>Hyndburn 008F</w:t>
            </w:r>
          </w:p>
        </w:tc>
        <w:tc>
          <w:tcPr>
            <w:tcW w:w="1200" w:type="dxa"/>
            <w:noWrap/>
            <w:hideMark/>
          </w:tcPr>
          <w:p w14:paraId="353A39CF" w14:textId="77777777" w:rsidR="005A67A8" w:rsidRPr="005A67A8" w:rsidRDefault="005A67A8">
            <w:proofErr w:type="spellStart"/>
            <w:r w:rsidRPr="005A67A8">
              <w:t>Baxenden</w:t>
            </w:r>
            <w:proofErr w:type="spellEnd"/>
          </w:p>
        </w:tc>
        <w:tc>
          <w:tcPr>
            <w:tcW w:w="960" w:type="dxa"/>
            <w:noWrap/>
            <w:hideMark/>
          </w:tcPr>
          <w:p w14:paraId="15C883A2" w14:textId="77777777" w:rsidR="005A67A8" w:rsidRPr="005A67A8" w:rsidRDefault="005A67A8" w:rsidP="005A67A8">
            <w:r w:rsidRPr="005A67A8">
              <w:t>8</w:t>
            </w:r>
          </w:p>
        </w:tc>
        <w:tc>
          <w:tcPr>
            <w:tcW w:w="960" w:type="dxa"/>
            <w:noWrap/>
            <w:hideMark/>
          </w:tcPr>
          <w:p w14:paraId="486E91A0" w14:textId="77777777" w:rsidR="005A67A8" w:rsidRPr="005A67A8" w:rsidRDefault="005A67A8" w:rsidP="005A67A8">
            <w:r w:rsidRPr="005A67A8">
              <w:t>8</w:t>
            </w:r>
          </w:p>
        </w:tc>
        <w:tc>
          <w:tcPr>
            <w:tcW w:w="960" w:type="dxa"/>
            <w:noWrap/>
            <w:hideMark/>
          </w:tcPr>
          <w:p w14:paraId="54D594AB" w14:textId="77777777" w:rsidR="005A67A8" w:rsidRPr="005A67A8" w:rsidRDefault="005A67A8" w:rsidP="005A67A8">
            <w:r w:rsidRPr="005A67A8">
              <w:t>9</w:t>
            </w:r>
          </w:p>
        </w:tc>
        <w:tc>
          <w:tcPr>
            <w:tcW w:w="960" w:type="dxa"/>
            <w:noWrap/>
            <w:hideMark/>
          </w:tcPr>
          <w:p w14:paraId="20B55364" w14:textId="77777777" w:rsidR="005A67A8" w:rsidRPr="005A67A8" w:rsidRDefault="005A67A8" w:rsidP="005A67A8">
            <w:r w:rsidRPr="005A67A8">
              <w:t>9</w:t>
            </w:r>
          </w:p>
        </w:tc>
        <w:tc>
          <w:tcPr>
            <w:tcW w:w="960" w:type="dxa"/>
            <w:noWrap/>
            <w:hideMark/>
          </w:tcPr>
          <w:p w14:paraId="674CF30D" w14:textId="77777777" w:rsidR="005A67A8" w:rsidRPr="005A67A8" w:rsidRDefault="005A67A8" w:rsidP="005A67A8">
            <w:r w:rsidRPr="005A67A8">
              <w:t>7</w:t>
            </w:r>
          </w:p>
        </w:tc>
        <w:tc>
          <w:tcPr>
            <w:tcW w:w="960" w:type="dxa"/>
            <w:noWrap/>
            <w:hideMark/>
          </w:tcPr>
          <w:p w14:paraId="0E151DC1" w14:textId="77777777" w:rsidR="005A67A8" w:rsidRPr="005A67A8" w:rsidRDefault="005A67A8" w:rsidP="005A67A8">
            <w:r w:rsidRPr="005A67A8">
              <w:t>5</w:t>
            </w:r>
          </w:p>
        </w:tc>
        <w:tc>
          <w:tcPr>
            <w:tcW w:w="960" w:type="dxa"/>
            <w:noWrap/>
            <w:hideMark/>
          </w:tcPr>
          <w:p w14:paraId="5B233B65" w14:textId="77777777" w:rsidR="005A67A8" w:rsidRPr="005A67A8" w:rsidRDefault="005A67A8" w:rsidP="005A67A8">
            <w:r w:rsidRPr="005A67A8">
              <w:t>5</w:t>
            </w:r>
          </w:p>
        </w:tc>
        <w:tc>
          <w:tcPr>
            <w:tcW w:w="960" w:type="dxa"/>
            <w:noWrap/>
            <w:hideMark/>
          </w:tcPr>
          <w:p w14:paraId="71AA7A10" w14:textId="77777777" w:rsidR="005A67A8" w:rsidRPr="005A67A8" w:rsidRDefault="005A67A8" w:rsidP="005A67A8">
            <w:r w:rsidRPr="005A67A8">
              <w:t>3</w:t>
            </w:r>
          </w:p>
        </w:tc>
        <w:tc>
          <w:tcPr>
            <w:tcW w:w="960" w:type="dxa"/>
            <w:noWrap/>
            <w:hideMark/>
          </w:tcPr>
          <w:p w14:paraId="3419B8FD" w14:textId="77777777" w:rsidR="005A67A8" w:rsidRPr="005A67A8" w:rsidRDefault="005A67A8" w:rsidP="005A67A8">
            <w:r w:rsidRPr="005A67A8">
              <w:t>8</w:t>
            </w:r>
          </w:p>
        </w:tc>
        <w:tc>
          <w:tcPr>
            <w:tcW w:w="960" w:type="dxa"/>
            <w:noWrap/>
            <w:hideMark/>
          </w:tcPr>
          <w:p w14:paraId="59DAA171" w14:textId="77777777" w:rsidR="005A67A8" w:rsidRPr="005A67A8" w:rsidRDefault="005A67A8" w:rsidP="005A67A8">
            <w:r w:rsidRPr="005A67A8">
              <w:t>9</w:t>
            </w:r>
          </w:p>
        </w:tc>
      </w:tr>
      <w:tr w:rsidR="005A67A8" w:rsidRPr="005A67A8" w14:paraId="594AEDA9" w14:textId="77777777" w:rsidTr="005A67A8">
        <w:trPr>
          <w:trHeight w:val="210"/>
        </w:trPr>
        <w:tc>
          <w:tcPr>
            <w:tcW w:w="1780" w:type="dxa"/>
            <w:noWrap/>
            <w:hideMark/>
          </w:tcPr>
          <w:p w14:paraId="789D0650" w14:textId="77777777" w:rsidR="005A67A8" w:rsidRPr="005A67A8" w:rsidRDefault="005A67A8">
            <w:r w:rsidRPr="005A67A8">
              <w:t>E01025041</w:t>
            </w:r>
          </w:p>
        </w:tc>
        <w:tc>
          <w:tcPr>
            <w:tcW w:w="1560" w:type="dxa"/>
            <w:noWrap/>
            <w:hideMark/>
          </w:tcPr>
          <w:p w14:paraId="3B0815C3" w14:textId="77777777" w:rsidR="005A67A8" w:rsidRPr="005A67A8" w:rsidRDefault="005A67A8">
            <w:r w:rsidRPr="005A67A8">
              <w:t>Hyndburn 006A</w:t>
            </w:r>
          </w:p>
        </w:tc>
        <w:tc>
          <w:tcPr>
            <w:tcW w:w="1200" w:type="dxa"/>
            <w:noWrap/>
            <w:hideMark/>
          </w:tcPr>
          <w:p w14:paraId="4037A67E" w14:textId="77777777" w:rsidR="005A67A8" w:rsidRPr="005A67A8" w:rsidRDefault="005A67A8">
            <w:r w:rsidRPr="005A67A8">
              <w:t>Central</w:t>
            </w:r>
          </w:p>
        </w:tc>
        <w:tc>
          <w:tcPr>
            <w:tcW w:w="960" w:type="dxa"/>
            <w:noWrap/>
            <w:hideMark/>
          </w:tcPr>
          <w:p w14:paraId="31FB02A5" w14:textId="77777777" w:rsidR="005A67A8" w:rsidRPr="005A67A8" w:rsidRDefault="005A67A8" w:rsidP="005A67A8">
            <w:r w:rsidRPr="005A67A8">
              <w:t>1</w:t>
            </w:r>
          </w:p>
        </w:tc>
        <w:tc>
          <w:tcPr>
            <w:tcW w:w="960" w:type="dxa"/>
            <w:noWrap/>
            <w:hideMark/>
          </w:tcPr>
          <w:p w14:paraId="05A149BD" w14:textId="77777777" w:rsidR="005A67A8" w:rsidRPr="005A67A8" w:rsidRDefault="005A67A8" w:rsidP="005A67A8">
            <w:r w:rsidRPr="005A67A8">
              <w:t>1</w:t>
            </w:r>
          </w:p>
        </w:tc>
        <w:tc>
          <w:tcPr>
            <w:tcW w:w="960" w:type="dxa"/>
            <w:noWrap/>
            <w:hideMark/>
          </w:tcPr>
          <w:p w14:paraId="17968A51" w14:textId="77777777" w:rsidR="005A67A8" w:rsidRPr="005A67A8" w:rsidRDefault="005A67A8" w:rsidP="005A67A8">
            <w:r w:rsidRPr="005A67A8">
              <w:t>1</w:t>
            </w:r>
          </w:p>
        </w:tc>
        <w:tc>
          <w:tcPr>
            <w:tcW w:w="960" w:type="dxa"/>
            <w:noWrap/>
            <w:hideMark/>
          </w:tcPr>
          <w:p w14:paraId="0544F0D0" w14:textId="77777777" w:rsidR="005A67A8" w:rsidRPr="005A67A8" w:rsidRDefault="005A67A8" w:rsidP="005A67A8">
            <w:r w:rsidRPr="005A67A8">
              <w:t>1</w:t>
            </w:r>
          </w:p>
        </w:tc>
        <w:tc>
          <w:tcPr>
            <w:tcW w:w="960" w:type="dxa"/>
            <w:noWrap/>
            <w:hideMark/>
          </w:tcPr>
          <w:p w14:paraId="40D7158F" w14:textId="77777777" w:rsidR="005A67A8" w:rsidRPr="005A67A8" w:rsidRDefault="005A67A8" w:rsidP="005A67A8">
            <w:r w:rsidRPr="005A67A8">
              <w:t>1</w:t>
            </w:r>
          </w:p>
        </w:tc>
        <w:tc>
          <w:tcPr>
            <w:tcW w:w="960" w:type="dxa"/>
            <w:noWrap/>
            <w:hideMark/>
          </w:tcPr>
          <w:p w14:paraId="1662D90E" w14:textId="77777777" w:rsidR="005A67A8" w:rsidRPr="005A67A8" w:rsidRDefault="005A67A8" w:rsidP="005A67A8">
            <w:r w:rsidRPr="005A67A8">
              <w:t>1</w:t>
            </w:r>
          </w:p>
        </w:tc>
        <w:tc>
          <w:tcPr>
            <w:tcW w:w="960" w:type="dxa"/>
            <w:noWrap/>
            <w:hideMark/>
          </w:tcPr>
          <w:p w14:paraId="692DBA36" w14:textId="77777777" w:rsidR="005A67A8" w:rsidRPr="005A67A8" w:rsidRDefault="005A67A8" w:rsidP="005A67A8">
            <w:r w:rsidRPr="005A67A8">
              <w:t>4</w:t>
            </w:r>
          </w:p>
        </w:tc>
        <w:tc>
          <w:tcPr>
            <w:tcW w:w="960" w:type="dxa"/>
            <w:noWrap/>
            <w:hideMark/>
          </w:tcPr>
          <w:p w14:paraId="1A4D9870" w14:textId="77777777" w:rsidR="005A67A8" w:rsidRPr="005A67A8" w:rsidRDefault="005A67A8" w:rsidP="005A67A8">
            <w:r w:rsidRPr="005A67A8">
              <w:t>1</w:t>
            </w:r>
          </w:p>
        </w:tc>
        <w:tc>
          <w:tcPr>
            <w:tcW w:w="960" w:type="dxa"/>
            <w:noWrap/>
            <w:hideMark/>
          </w:tcPr>
          <w:p w14:paraId="2DDDCCF7" w14:textId="77777777" w:rsidR="005A67A8" w:rsidRPr="005A67A8" w:rsidRDefault="005A67A8" w:rsidP="005A67A8">
            <w:r w:rsidRPr="005A67A8">
              <w:t>1</w:t>
            </w:r>
          </w:p>
        </w:tc>
        <w:tc>
          <w:tcPr>
            <w:tcW w:w="960" w:type="dxa"/>
            <w:noWrap/>
            <w:hideMark/>
          </w:tcPr>
          <w:p w14:paraId="310CF620" w14:textId="77777777" w:rsidR="005A67A8" w:rsidRPr="005A67A8" w:rsidRDefault="005A67A8" w:rsidP="005A67A8">
            <w:r w:rsidRPr="005A67A8">
              <w:t>1</w:t>
            </w:r>
          </w:p>
        </w:tc>
      </w:tr>
      <w:tr w:rsidR="005A67A8" w:rsidRPr="005A67A8" w14:paraId="4737A8DF" w14:textId="77777777" w:rsidTr="005A67A8">
        <w:trPr>
          <w:trHeight w:val="210"/>
        </w:trPr>
        <w:tc>
          <w:tcPr>
            <w:tcW w:w="1780" w:type="dxa"/>
            <w:noWrap/>
            <w:hideMark/>
          </w:tcPr>
          <w:p w14:paraId="2A8C438A" w14:textId="77777777" w:rsidR="005A67A8" w:rsidRPr="005A67A8" w:rsidRDefault="005A67A8">
            <w:r w:rsidRPr="005A67A8">
              <w:t>E01025042</w:t>
            </w:r>
          </w:p>
        </w:tc>
        <w:tc>
          <w:tcPr>
            <w:tcW w:w="1560" w:type="dxa"/>
            <w:noWrap/>
            <w:hideMark/>
          </w:tcPr>
          <w:p w14:paraId="6207C21F" w14:textId="77777777" w:rsidR="005A67A8" w:rsidRPr="005A67A8" w:rsidRDefault="005A67A8">
            <w:r w:rsidRPr="005A67A8">
              <w:t>Hyndburn 006B</w:t>
            </w:r>
          </w:p>
        </w:tc>
        <w:tc>
          <w:tcPr>
            <w:tcW w:w="1200" w:type="dxa"/>
            <w:noWrap/>
            <w:hideMark/>
          </w:tcPr>
          <w:p w14:paraId="5EAF19EB" w14:textId="77777777" w:rsidR="005A67A8" w:rsidRPr="005A67A8" w:rsidRDefault="005A67A8">
            <w:r w:rsidRPr="005A67A8">
              <w:t>Central</w:t>
            </w:r>
          </w:p>
        </w:tc>
        <w:tc>
          <w:tcPr>
            <w:tcW w:w="960" w:type="dxa"/>
            <w:noWrap/>
            <w:hideMark/>
          </w:tcPr>
          <w:p w14:paraId="7E823378" w14:textId="77777777" w:rsidR="005A67A8" w:rsidRPr="005A67A8" w:rsidRDefault="005A67A8" w:rsidP="005A67A8">
            <w:r w:rsidRPr="005A67A8">
              <w:t>1</w:t>
            </w:r>
          </w:p>
        </w:tc>
        <w:tc>
          <w:tcPr>
            <w:tcW w:w="960" w:type="dxa"/>
            <w:noWrap/>
            <w:hideMark/>
          </w:tcPr>
          <w:p w14:paraId="63FD8066" w14:textId="77777777" w:rsidR="005A67A8" w:rsidRPr="005A67A8" w:rsidRDefault="005A67A8" w:rsidP="005A67A8">
            <w:r w:rsidRPr="005A67A8">
              <w:t>1</w:t>
            </w:r>
          </w:p>
        </w:tc>
        <w:tc>
          <w:tcPr>
            <w:tcW w:w="960" w:type="dxa"/>
            <w:noWrap/>
            <w:hideMark/>
          </w:tcPr>
          <w:p w14:paraId="0F33A1FF" w14:textId="77777777" w:rsidR="005A67A8" w:rsidRPr="005A67A8" w:rsidRDefault="005A67A8" w:rsidP="005A67A8">
            <w:r w:rsidRPr="005A67A8">
              <w:t>1</w:t>
            </w:r>
          </w:p>
        </w:tc>
        <w:tc>
          <w:tcPr>
            <w:tcW w:w="960" w:type="dxa"/>
            <w:noWrap/>
            <w:hideMark/>
          </w:tcPr>
          <w:p w14:paraId="4ADA7E6A" w14:textId="77777777" w:rsidR="005A67A8" w:rsidRPr="005A67A8" w:rsidRDefault="005A67A8" w:rsidP="005A67A8">
            <w:r w:rsidRPr="005A67A8">
              <w:t>1</w:t>
            </w:r>
          </w:p>
        </w:tc>
        <w:tc>
          <w:tcPr>
            <w:tcW w:w="960" w:type="dxa"/>
            <w:noWrap/>
            <w:hideMark/>
          </w:tcPr>
          <w:p w14:paraId="3B308CFD" w14:textId="77777777" w:rsidR="005A67A8" w:rsidRPr="005A67A8" w:rsidRDefault="005A67A8" w:rsidP="005A67A8">
            <w:r w:rsidRPr="005A67A8">
              <w:t>2</w:t>
            </w:r>
          </w:p>
        </w:tc>
        <w:tc>
          <w:tcPr>
            <w:tcW w:w="960" w:type="dxa"/>
            <w:noWrap/>
            <w:hideMark/>
          </w:tcPr>
          <w:p w14:paraId="509D8FA4" w14:textId="77777777" w:rsidR="005A67A8" w:rsidRPr="005A67A8" w:rsidRDefault="005A67A8" w:rsidP="005A67A8">
            <w:r w:rsidRPr="005A67A8">
              <w:t>2</w:t>
            </w:r>
          </w:p>
        </w:tc>
        <w:tc>
          <w:tcPr>
            <w:tcW w:w="960" w:type="dxa"/>
            <w:noWrap/>
            <w:hideMark/>
          </w:tcPr>
          <w:p w14:paraId="479C563A" w14:textId="77777777" w:rsidR="005A67A8" w:rsidRPr="005A67A8" w:rsidRDefault="005A67A8" w:rsidP="005A67A8">
            <w:r w:rsidRPr="005A67A8">
              <w:t>2</w:t>
            </w:r>
          </w:p>
        </w:tc>
        <w:tc>
          <w:tcPr>
            <w:tcW w:w="960" w:type="dxa"/>
            <w:noWrap/>
            <w:hideMark/>
          </w:tcPr>
          <w:p w14:paraId="53A4CC21" w14:textId="77777777" w:rsidR="005A67A8" w:rsidRPr="005A67A8" w:rsidRDefault="005A67A8" w:rsidP="005A67A8">
            <w:r w:rsidRPr="005A67A8">
              <w:t>1</w:t>
            </w:r>
          </w:p>
        </w:tc>
        <w:tc>
          <w:tcPr>
            <w:tcW w:w="960" w:type="dxa"/>
            <w:noWrap/>
            <w:hideMark/>
          </w:tcPr>
          <w:p w14:paraId="7437FEC1" w14:textId="77777777" w:rsidR="005A67A8" w:rsidRPr="005A67A8" w:rsidRDefault="005A67A8" w:rsidP="005A67A8">
            <w:r w:rsidRPr="005A67A8">
              <w:t>1</w:t>
            </w:r>
          </w:p>
        </w:tc>
        <w:tc>
          <w:tcPr>
            <w:tcW w:w="960" w:type="dxa"/>
            <w:noWrap/>
            <w:hideMark/>
          </w:tcPr>
          <w:p w14:paraId="23351A1E" w14:textId="77777777" w:rsidR="005A67A8" w:rsidRPr="005A67A8" w:rsidRDefault="005A67A8" w:rsidP="005A67A8">
            <w:r w:rsidRPr="005A67A8">
              <w:t>1</w:t>
            </w:r>
          </w:p>
        </w:tc>
      </w:tr>
      <w:tr w:rsidR="005A67A8" w:rsidRPr="005A67A8" w14:paraId="0231830B" w14:textId="77777777" w:rsidTr="005A67A8">
        <w:trPr>
          <w:trHeight w:val="210"/>
        </w:trPr>
        <w:tc>
          <w:tcPr>
            <w:tcW w:w="1780" w:type="dxa"/>
            <w:noWrap/>
            <w:hideMark/>
          </w:tcPr>
          <w:p w14:paraId="3D5640CA" w14:textId="77777777" w:rsidR="005A67A8" w:rsidRPr="005A67A8" w:rsidRDefault="005A67A8">
            <w:r w:rsidRPr="005A67A8">
              <w:lastRenderedPageBreak/>
              <w:t>E01025044</w:t>
            </w:r>
          </w:p>
        </w:tc>
        <w:tc>
          <w:tcPr>
            <w:tcW w:w="1560" w:type="dxa"/>
            <w:noWrap/>
            <w:hideMark/>
          </w:tcPr>
          <w:p w14:paraId="31004DB1" w14:textId="77777777" w:rsidR="005A67A8" w:rsidRPr="005A67A8" w:rsidRDefault="005A67A8">
            <w:r w:rsidRPr="005A67A8">
              <w:t>Hyndburn 005A</w:t>
            </w:r>
          </w:p>
        </w:tc>
        <w:tc>
          <w:tcPr>
            <w:tcW w:w="1200" w:type="dxa"/>
            <w:noWrap/>
            <w:hideMark/>
          </w:tcPr>
          <w:p w14:paraId="73B13DA3" w14:textId="77777777" w:rsidR="005A67A8" w:rsidRPr="005A67A8" w:rsidRDefault="005A67A8">
            <w:r w:rsidRPr="005A67A8">
              <w:t>Church</w:t>
            </w:r>
          </w:p>
        </w:tc>
        <w:tc>
          <w:tcPr>
            <w:tcW w:w="960" w:type="dxa"/>
            <w:noWrap/>
            <w:hideMark/>
          </w:tcPr>
          <w:p w14:paraId="71969B36" w14:textId="77777777" w:rsidR="005A67A8" w:rsidRPr="005A67A8" w:rsidRDefault="005A67A8" w:rsidP="005A67A8">
            <w:r w:rsidRPr="005A67A8">
              <w:t>2</w:t>
            </w:r>
          </w:p>
        </w:tc>
        <w:tc>
          <w:tcPr>
            <w:tcW w:w="960" w:type="dxa"/>
            <w:noWrap/>
            <w:hideMark/>
          </w:tcPr>
          <w:p w14:paraId="39CD5057" w14:textId="77777777" w:rsidR="005A67A8" w:rsidRPr="005A67A8" w:rsidRDefault="005A67A8" w:rsidP="005A67A8">
            <w:r w:rsidRPr="005A67A8">
              <w:t>2</w:t>
            </w:r>
          </w:p>
        </w:tc>
        <w:tc>
          <w:tcPr>
            <w:tcW w:w="960" w:type="dxa"/>
            <w:noWrap/>
            <w:hideMark/>
          </w:tcPr>
          <w:p w14:paraId="148FFED6" w14:textId="77777777" w:rsidR="005A67A8" w:rsidRPr="005A67A8" w:rsidRDefault="005A67A8" w:rsidP="005A67A8">
            <w:r w:rsidRPr="005A67A8">
              <w:t>2</w:t>
            </w:r>
          </w:p>
        </w:tc>
        <w:tc>
          <w:tcPr>
            <w:tcW w:w="960" w:type="dxa"/>
            <w:noWrap/>
            <w:hideMark/>
          </w:tcPr>
          <w:p w14:paraId="73301A6D" w14:textId="77777777" w:rsidR="005A67A8" w:rsidRPr="005A67A8" w:rsidRDefault="005A67A8" w:rsidP="005A67A8">
            <w:r w:rsidRPr="005A67A8">
              <w:t>3</w:t>
            </w:r>
          </w:p>
        </w:tc>
        <w:tc>
          <w:tcPr>
            <w:tcW w:w="960" w:type="dxa"/>
            <w:noWrap/>
            <w:hideMark/>
          </w:tcPr>
          <w:p w14:paraId="1772BAC4" w14:textId="77777777" w:rsidR="005A67A8" w:rsidRPr="005A67A8" w:rsidRDefault="005A67A8" w:rsidP="005A67A8">
            <w:r w:rsidRPr="005A67A8">
              <w:t>2</w:t>
            </w:r>
          </w:p>
        </w:tc>
        <w:tc>
          <w:tcPr>
            <w:tcW w:w="960" w:type="dxa"/>
            <w:noWrap/>
            <w:hideMark/>
          </w:tcPr>
          <w:p w14:paraId="2773ABB9" w14:textId="77777777" w:rsidR="005A67A8" w:rsidRPr="005A67A8" w:rsidRDefault="005A67A8" w:rsidP="005A67A8">
            <w:r w:rsidRPr="005A67A8">
              <w:t>3</w:t>
            </w:r>
          </w:p>
        </w:tc>
        <w:tc>
          <w:tcPr>
            <w:tcW w:w="960" w:type="dxa"/>
            <w:noWrap/>
            <w:hideMark/>
          </w:tcPr>
          <w:p w14:paraId="1B8FACBB" w14:textId="77777777" w:rsidR="005A67A8" w:rsidRPr="005A67A8" w:rsidRDefault="005A67A8" w:rsidP="005A67A8">
            <w:r w:rsidRPr="005A67A8">
              <w:t>6</w:t>
            </w:r>
          </w:p>
        </w:tc>
        <w:tc>
          <w:tcPr>
            <w:tcW w:w="960" w:type="dxa"/>
            <w:noWrap/>
            <w:hideMark/>
          </w:tcPr>
          <w:p w14:paraId="71E23136" w14:textId="77777777" w:rsidR="005A67A8" w:rsidRPr="005A67A8" w:rsidRDefault="005A67A8" w:rsidP="005A67A8">
            <w:r w:rsidRPr="005A67A8">
              <w:t>1</w:t>
            </w:r>
          </w:p>
        </w:tc>
        <w:tc>
          <w:tcPr>
            <w:tcW w:w="960" w:type="dxa"/>
            <w:noWrap/>
            <w:hideMark/>
          </w:tcPr>
          <w:p w14:paraId="0D86D610" w14:textId="77777777" w:rsidR="005A67A8" w:rsidRPr="005A67A8" w:rsidRDefault="005A67A8" w:rsidP="005A67A8">
            <w:r w:rsidRPr="005A67A8">
              <w:t>2</w:t>
            </w:r>
          </w:p>
        </w:tc>
        <w:tc>
          <w:tcPr>
            <w:tcW w:w="960" w:type="dxa"/>
            <w:noWrap/>
            <w:hideMark/>
          </w:tcPr>
          <w:p w14:paraId="08CED797" w14:textId="77777777" w:rsidR="005A67A8" w:rsidRPr="005A67A8" w:rsidRDefault="005A67A8" w:rsidP="005A67A8">
            <w:r w:rsidRPr="005A67A8">
              <w:t>4</w:t>
            </w:r>
          </w:p>
        </w:tc>
      </w:tr>
      <w:tr w:rsidR="005A67A8" w:rsidRPr="005A67A8" w14:paraId="3FBDC2A5" w14:textId="77777777" w:rsidTr="005A67A8">
        <w:trPr>
          <w:trHeight w:val="210"/>
        </w:trPr>
        <w:tc>
          <w:tcPr>
            <w:tcW w:w="1780" w:type="dxa"/>
            <w:noWrap/>
            <w:hideMark/>
          </w:tcPr>
          <w:p w14:paraId="407CDF8A" w14:textId="77777777" w:rsidR="005A67A8" w:rsidRPr="005A67A8" w:rsidRDefault="005A67A8">
            <w:r w:rsidRPr="005A67A8">
              <w:t>E01025045</w:t>
            </w:r>
          </w:p>
        </w:tc>
        <w:tc>
          <w:tcPr>
            <w:tcW w:w="1560" w:type="dxa"/>
            <w:noWrap/>
            <w:hideMark/>
          </w:tcPr>
          <w:p w14:paraId="119880DD" w14:textId="77777777" w:rsidR="005A67A8" w:rsidRPr="005A67A8" w:rsidRDefault="005A67A8">
            <w:r w:rsidRPr="005A67A8">
              <w:t>Hyndburn 005B</w:t>
            </w:r>
          </w:p>
        </w:tc>
        <w:tc>
          <w:tcPr>
            <w:tcW w:w="1200" w:type="dxa"/>
            <w:noWrap/>
            <w:hideMark/>
          </w:tcPr>
          <w:p w14:paraId="22944C98" w14:textId="77777777" w:rsidR="005A67A8" w:rsidRPr="005A67A8" w:rsidRDefault="005A67A8">
            <w:r w:rsidRPr="005A67A8">
              <w:t>Church</w:t>
            </w:r>
          </w:p>
        </w:tc>
        <w:tc>
          <w:tcPr>
            <w:tcW w:w="960" w:type="dxa"/>
            <w:noWrap/>
            <w:hideMark/>
          </w:tcPr>
          <w:p w14:paraId="2E4B2070" w14:textId="77777777" w:rsidR="005A67A8" w:rsidRPr="005A67A8" w:rsidRDefault="005A67A8" w:rsidP="005A67A8">
            <w:r w:rsidRPr="005A67A8">
              <w:t>1</w:t>
            </w:r>
          </w:p>
        </w:tc>
        <w:tc>
          <w:tcPr>
            <w:tcW w:w="960" w:type="dxa"/>
            <w:noWrap/>
            <w:hideMark/>
          </w:tcPr>
          <w:p w14:paraId="13282B87" w14:textId="77777777" w:rsidR="005A67A8" w:rsidRPr="005A67A8" w:rsidRDefault="005A67A8" w:rsidP="005A67A8">
            <w:r w:rsidRPr="005A67A8">
              <w:t>1</w:t>
            </w:r>
          </w:p>
        </w:tc>
        <w:tc>
          <w:tcPr>
            <w:tcW w:w="960" w:type="dxa"/>
            <w:noWrap/>
            <w:hideMark/>
          </w:tcPr>
          <w:p w14:paraId="071A8E6C" w14:textId="77777777" w:rsidR="005A67A8" w:rsidRPr="005A67A8" w:rsidRDefault="005A67A8" w:rsidP="005A67A8">
            <w:r w:rsidRPr="005A67A8">
              <w:t>1</w:t>
            </w:r>
          </w:p>
        </w:tc>
        <w:tc>
          <w:tcPr>
            <w:tcW w:w="960" w:type="dxa"/>
            <w:noWrap/>
            <w:hideMark/>
          </w:tcPr>
          <w:p w14:paraId="20D67770" w14:textId="77777777" w:rsidR="005A67A8" w:rsidRPr="005A67A8" w:rsidRDefault="005A67A8" w:rsidP="005A67A8">
            <w:r w:rsidRPr="005A67A8">
              <w:t>1</w:t>
            </w:r>
          </w:p>
        </w:tc>
        <w:tc>
          <w:tcPr>
            <w:tcW w:w="960" w:type="dxa"/>
            <w:noWrap/>
            <w:hideMark/>
          </w:tcPr>
          <w:p w14:paraId="5EB0D1FC" w14:textId="77777777" w:rsidR="005A67A8" w:rsidRPr="005A67A8" w:rsidRDefault="005A67A8" w:rsidP="005A67A8">
            <w:r w:rsidRPr="005A67A8">
              <w:t>1</w:t>
            </w:r>
          </w:p>
        </w:tc>
        <w:tc>
          <w:tcPr>
            <w:tcW w:w="960" w:type="dxa"/>
            <w:noWrap/>
            <w:hideMark/>
          </w:tcPr>
          <w:p w14:paraId="4074A9A2" w14:textId="77777777" w:rsidR="005A67A8" w:rsidRPr="005A67A8" w:rsidRDefault="005A67A8" w:rsidP="005A67A8">
            <w:r w:rsidRPr="005A67A8">
              <w:t>1</w:t>
            </w:r>
          </w:p>
        </w:tc>
        <w:tc>
          <w:tcPr>
            <w:tcW w:w="960" w:type="dxa"/>
            <w:noWrap/>
            <w:hideMark/>
          </w:tcPr>
          <w:p w14:paraId="569C73B5" w14:textId="77777777" w:rsidR="005A67A8" w:rsidRPr="005A67A8" w:rsidRDefault="005A67A8" w:rsidP="005A67A8">
            <w:r w:rsidRPr="005A67A8">
              <w:t>6</w:t>
            </w:r>
          </w:p>
        </w:tc>
        <w:tc>
          <w:tcPr>
            <w:tcW w:w="960" w:type="dxa"/>
            <w:noWrap/>
            <w:hideMark/>
          </w:tcPr>
          <w:p w14:paraId="4B0FC803" w14:textId="77777777" w:rsidR="005A67A8" w:rsidRPr="005A67A8" w:rsidRDefault="005A67A8" w:rsidP="005A67A8">
            <w:r w:rsidRPr="005A67A8">
              <w:t>5</w:t>
            </w:r>
          </w:p>
        </w:tc>
        <w:tc>
          <w:tcPr>
            <w:tcW w:w="960" w:type="dxa"/>
            <w:noWrap/>
            <w:hideMark/>
          </w:tcPr>
          <w:p w14:paraId="3778EC17" w14:textId="77777777" w:rsidR="005A67A8" w:rsidRPr="005A67A8" w:rsidRDefault="005A67A8" w:rsidP="005A67A8">
            <w:r w:rsidRPr="005A67A8">
              <w:t>1</w:t>
            </w:r>
          </w:p>
        </w:tc>
        <w:tc>
          <w:tcPr>
            <w:tcW w:w="960" w:type="dxa"/>
            <w:noWrap/>
            <w:hideMark/>
          </w:tcPr>
          <w:p w14:paraId="3505EF65" w14:textId="77777777" w:rsidR="005A67A8" w:rsidRPr="005A67A8" w:rsidRDefault="005A67A8" w:rsidP="005A67A8">
            <w:r w:rsidRPr="005A67A8">
              <w:t>1</w:t>
            </w:r>
          </w:p>
        </w:tc>
      </w:tr>
      <w:tr w:rsidR="005A67A8" w:rsidRPr="005A67A8" w14:paraId="2426EBB1" w14:textId="77777777" w:rsidTr="005A67A8">
        <w:trPr>
          <w:trHeight w:val="210"/>
        </w:trPr>
        <w:tc>
          <w:tcPr>
            <w:tcW w:w="1780" w:type="dxa"/>
            <w:noWrap/>
            <w:hideMark/>
          </w:tcPr>
          <w:p w14:paraId="6DE0FC52" w14:textId="77777777" w:rsidR="005A67A8" w:rsidRPr="005A67A8" w:rsidRDefault="005A67A8">
            <w:r w:rsidRPr="005A67A8">
              <w:t>E01025046</w:t>
            </w:r>
          </w:p>
        </w:tc>
        <w:tc>
          <w:tcPr>
            <w:tcW w:w="1560" w:type="dxa"/>
            <w:noWrap/>
            <w:hideMark/>
          </w:tcPr>
          <w:p w14:paraId="6B3CC175" w14:textId="77777777" w:rsidR="005A67A8" w:rsidRPr="005A67A8" w:rsidRDefault="005A67A8">
            <w:r w:rsidRPr="005A67A8">
              <w:t>Hyndburn 005C</w:t>
            </w:r>
          </w:p>
        </w:tc>
        <w:tc>
          <w:tcPr>
            <w:tcW w:w="1200" w:type="dxa"/>
            <w:noWrap/>
            <w:hideMark/>
          </w:tcPr>
          <w:p w14:paraId="14D6A675" w14:textId="77777777" w:rsidR="005A67A8" w:rsidRPr="005A67A8" w:rsidRDefault="005A67A8">
            <w:r w:rsidRPr="005A67A8">
              <w:t>Church</w:t>
            </w:r>
          </w:p>
        </w:tc>
        <w:tc>
          <w:tcPr>
            <w:tcW w:w="960" w:type="dxa"/>
            <w:noWrap/>
            <w:hideMark/>
          </w:tcPr>
          <w:p w14:paraId="09BCA136" w14:textId="77777777" w:rsidR="005A67A8" w:rsidRPr="005A67A8" w:rsidRDefault="005A67A8" w:rsidP="005A67A8">
            <w:r w:rsidRPr="005A67A8">
              <w:t>1</w:t>
            </w:r>
          </w:p>
        </w:tc>
        <w:tc>
          <w:tcPr>
            <w:tcW w:w="960" w:type="dxa"/>
            <w:noWrap/>
            <w:hideMark/>
          </w:tcPr>
          <w:p w14:paraId="24814BC4" w14:textId="77777777" w:rsidR="005A67A8" w:rsidRPr="005A67A8" w:rsidRDefault="005A67A8" w:rsidP="005A67A8">
            <w:r w:rsidRPr="005A67A8">
              <w:t>1</w:t>
            </w:r>
          </w:p>
        </w:tc>
        <w:tc>
          <w:tcPr>
            <w:tcW w:w="960" w:type="dxa"/>
            <w:noWrap/>
            <w:hideMark/>
          </w:tcPr>
          <w:p w14:paraId="0F446C0F" w14:textId="77777777" w:rsidR="005A67A8" w:rsidRPr="005A67A8" w:rsidRDefault="005A67A8" w:rsidP="005A67A8">
            <w:r w:rsidRPr="005A67A8">
              <w:t>1</w:t>
            </w:r>
          </w:p>
        </w:tc>
        <w:tc>
          <w:tcPr>
            <w:tcW w:w="960" w:type="dxa"/>
            <w:noWrap/>
            <w:hideMark/>
          </w:tcPr>
          <w:p w14:paraId="4EF2245C" w14:textId="77777777" w:rsidR="005A67A8" w:rsidRPr="005A67A8" w:rsidRDefault="005A67A8" w:rsidP="005A67A8">
            <w:r w:rsidRPr="005A67A8">
              <w:t>2</w:t>
            </w:r>
          </w:p>
        </w:tc>
        <w:tc>
          <w:tcPr>
            <w:tcW w:w="960" w:type="dxa"/>
            <w:noWrap/>
            <w:hideMark/>
          </w:tcPr>
          <w:p w14:paraId="3A69BE01" w14:textId="77777777" w:rsidR="005A67A8" w:rsidRPr="005A67A8" w:rsidRDefault="005A67A8" w:rsidP="005A67A8">
            <w:r w:rsidRPr="005A67A8">
              <w:t>1</w:t>
            </w:r>
          </w:p>
        </w:tc>
        <w:tc>
          <w:tcPr>
            <w:tcW w:w="960" w:type="dxa"/>
            <w:noWrap/>
            <w:hideMark/>
          </w:tcPr>
          <w:p w14:paraId="05AB0B60" w14:textId="77777777" w:rsidR="005A67A8" w:rsidRPr="005A67A8" w:rsidRDefault="005A67A8" w:rsidP="005A67A8">
            <w:r w:rsidRPr="005A67A8">
              <w:t>1</w:t>
            </w:r>
          </w:p>
        </w:tc>
        <w:tc>
          <w:tcPr>
            <w:tcW w:w="960" w:type="dxa"/>
            <w:noWrap/>
            <w:hideMark/>
          </w:tcPr>
          <w:p w14:paraId="0DE021A4" w14:textId="77777777" w:rsidR="005A67A8" w:rsidRPr="005A67A8" w:rsidRDefault="005A67A8" w:rsidP="005A67A8">
            <w:r w:rsidRPr="005A67A8">
              <w:t>6</w:t>
            </w:r>
          </w:p>
        </w:tc>
        <w:tc>
          <w:tcPr>
            <w:tcW w:w="960" w:type="dxa"/>
            <w:noWrap/>
            <w:hideMark/>
          </w:tcPr>
          <w:p w14:paraId="6A775A28" w14:textId="77777777" w:rsidR="005A67A8" w:rsidRPr="005A67A8" w:rsidRDefault="005A67A8" w:rsidP="005A67A8">
            <w:r w:rsidRPr="005A67A8">
              <w:t>3</w:t>
            </w:r>
          </w:p>
        </w:tc>
        <w:tc>
          <w:tcPr>
            <w:tcW w:w="960" w:type="dxa"/>
            <w:noWrap/>
            <w:hideMark/>
          </w:tcPr>
          <w:p w14:paraId="7FCA989A" w14:textId="77777777" w:rsidR="005A67A8" w:rsidRPr="005A67A8" w:rsidRDefault="005A67A8" w:rsidP="005A67A8">
            <w:r w:rsidRPr="005A67A8">
              <w:t>1</w:t>
            </w:r>
          </w:p>
        </w:tc>
        <w:tc>
          <w:tcPr>
            <w:tcW w:w="960" w:type="dxa"/>
            <w:noWrap/>
            <w:hideMark/>
          </w:tcPr>
          <w:p w14:paraId="1A4D579D" w14:textId="77777777" w:rsidR="005A67A8" w:rsidRPr="005A67A8" w:rsidRDefault="005A67A8" w:rsidP="005A67A8">
            <w:r w:rsidRPr="005A67A8">
              <w:t>2</w:t>
            </w:r>
          </w:p>
        </w:tc>
      </w:tr>
      <w:tr w:rsidR="005A67A8" w:rsidRPr="005A67A8" w14:paraId="3FA9C7E6" w14:textId="77777777" w:rsidTr="005A67A8">
        <w:trPr>
          <w:trHeight w:val="210"/>
        </w:trPr>
        <w:tc>
          <w:tcPr>
            <w:tcW w:w="1780" w:type="dxa"/>
            <w:noWrap/>
            <w:hideMark/>
          </w:tcPr>
          <w:p w14:paraId="042CADFC" w14:textId="77777777" w:rsidR="005A67A8" w:rsidRPr="005A67A8" w:rsidRDefault="005A67A8">
            <w:r w:rsidRPr="005A67A8">
              <w:t>E01025048</w:t>
            </w:r>
          </w:p>
        </w:tc>
        <w:tc>
          <w:tcPr>
            <w:tcW w:w="1560" w:type="dxa"/>
            <w:noWrap/>
            <w:hideMark/>
          </w:tcPr>
          <w:p w14:paraId="411B575E" w14:textId="77777777" w:rsidR="005A67A8" w:rsidRPr="005A67A8" w:rsidRDefault="005A67A8">
            <w:r w:rsidRPr="005A67A8">
              <w:t>Hyndburn 002D</w:t>
            </w:r>
          </w:p>
        </w:tc>
        <w:tc>
          <w:tcPr>
            <w:tcW w:w="1200" w:type="dxa"/>
            <w:noWrap/>
            <w:hideMark/>
          </w:tcPr>
          <w:p w14:paraId="50F37B2D" w14:textId="77777777" w:rsidR="005A67A8" w:rsidRPr="005A67A8" w:rsidRDefault="005A67A8">
            <w:r w:rsidRPr="005A67A8">
              <w:t>CLM</w:t>
            </w:r>
          </w:p>
        </w:tc>
        <w:tc>
          <w:tcPr>
            <w:tcW w:w="960" w:type="dxa"/>
            <w:noWrap/>
            <w:hideMark/>
          </w:tcPr>
          <w:p w14:paraId="27C958DF" w14:textId="77777777" w:rsidR="005A67A8" w:rsidRPr="005A67A8" w:rsidRDefault="005A67A8" w:rsidP="005A67A8">
            <w:r w:rsidRPr="005A67A8">
              <w:t>8</w:t>
            </w:r>
          </w:p>
        </w:tc>
        <w:tc>
          <w:tcPr>
            <w:tcW w:w="960" w:type="dxa"/>
            <w:noWrap/>
            <w:hideMark/>
          </w:tcPr>
          <w:p w14:paraId="72632F96" w14:textId="77777777" w:rsidR="005A67A8" w:rsidRPr="005A67A8" w:rsidRDefault="005A67A8" w:rsidP="005A67A8">
            <w:r w:rsidRPr="005A67A8">
              <w:t>9</w:t>
            </w:r>
          </w:p>
        </w:tc>
        <w:tc>
          <w:tcPr>
            <w:tcW w:w="960" w:type="dxa"/>
            <w:noWrap/>
            <w:hideMark/>
          </w:tcPr>
          <w:p w14:paraId="62257FC2" w14:textId="77777777" w:rsidR="005A67A8" w:rsidRPr="005A67A8" w:rsidRDefault="005A67A8" w:rsidP="005A67A8">
            <w:r w:rsidRPr="005A67A8">
              <w:t>6</w:t>
            </w:r>
          </w:p>
        </w:tc>
        <w:tc>
          <w:tcPr>
            <w:tcW w:w="960" w:type="dxa"/>
            <w:noWrap/>
            <w:hideMark/>
          </w:tcPr>
          <w:p w14:paraId="53A30F77" w14:textId="77777777" w:rsidR="005A67A8" w:rsidRPr="005A67A8" w:rsidRDefault="005A67A8" w:rsidP="005A67A8">
            <w:r w:rsidRPr="005A67A8">
              <w:t>7</w:t>
            </w:r>
          </w:p>
        </w:tc>
        <w:tc>
          <w:tcPr>
            <w:tcW w:w="960" w:type="dxa"/>
            <w:noWrap/>
            <w:hideMark/>
          </w:tcPr>
          <w:p w14:paraId="319527D7" w14:textId="77777777" w:rsidR="005A67A8" w:rsidRPr="005A67A8" w:rsidRDefault="005A67A8" w:rsidP="005A67A8">
            <w:r w:rsidRPr="005A67A8">
              <w:t>6</w:t>
            </w:r>
          </w:p>
        </w:tc>
        <w:tc>
          <w:tcPr>
            <w:tcW w:w="960" w:type="dxa"/>
            <w:noWrap/>
            <w:hideMark/>
          </w:tcPr>
          <w:p w14:paraId="42263441" w14:textId="77777777" w:rsidR="005A67A8" w:rsidRPr="005A67A8" w:rsidRDefault="005A67A8" w:rsidP="005A67A8">
            <w:r w:rsidRPr="005A67A8">
              <w:t>7</w:t>
            </w:r>
          </w:p>
        </w:tc>
        <w:tc>
          <w:tcPr>
            <w:tcW w:w="960" w:type="dxa"/>
            <w:noWrap/>
            <w:hideMark/>
          </w:tcPr>
          <w:p w14:paraId="4EAF7096" w14:textId="77777777" w:rsidR="005A67A8" w:rsidRPr="005A67A8" w:rsidRDefault="005A67A8" w:rsidP="005A67A8">
            <w:r w:rsidRPr="005A67A8">
              <w:t>5</w:t>
            </w:r>
          </w:p>
        </w:tc>
        <w:tc>
          <w:tcPr>
            <w:tcW w:w="960" w:type="dxa"/>
            <w:noWrap/>
            <w:hideMark/>
          </w:tcPr>
          <w:p w14:paraId="3B7F1591" w14:textId="77777777" w:rsidR="005A67A8" w:rsidRPr="005A67A8" w:rsidRDefault="005A67A8" w:rsidP="005A67A8">
            <w:r w:rsidRPr="005A67A8">
              <w:t>9</w:t>
            </w:r>
          </w:p>
        </w:tc>
        <w:tc>
          <w:tcPr>
            <w:tcW w:w="960" w:type="dxa"/>
            <w:noWrap/>
            <w:hideMark/>
          </w:tcPr>
          <w:p w14:paraId="156B24CF" w14:textId="77777777" w:rsidR="005A67A8" w:rsidRPr="005A67A8" w:rsidRDefault="005A67A8" w:rsidP="005A67A8">
            <w:r w:rsidRPr="005A67A8">
              <w:t>9</w:t>
            </w:r>
          </w:p>
        </w:tc>
        <w:tc>
          <w:tcPr>
            <w:tcW w:w="960" w:type="dxa"/>
            <w:noWrap/>
            <w:hideMark/>
          </w:tcPr>
          <w:p w14:paraId="4A6FD777" w14:textId="77777777" w:rsidR="005A67A8" w:rsidRPr="005A67A8" w:rsidRDefault="005A67A8" w:rsidP="005A67A8">
            <w:r w:rsidRPr="005A67A8">
              <w:t>7</w:t>
            </w:r>
          </w:p>
        </w:tc>
      </w:tr>
      <w:tr w:rsidR="005A67A8" w:rsidRPr="005A67A8" w14:paraId="2F04398D" w14:textId="77777777" w:rsidTr="005A67A8">
        <w:trPr>
          <w:trHeight w:val="210"/>
        </w:trPr>
        <w:tc>
          <w:tcPr>
            <w:tcW w:w="1780" w:type="dxa"/>
            <w:noWrap/>
            <w:hideMark/>
          </w:tcPr>
          <w:p w14:paraId="6F6689F5" w14:textId="77777777" w:rsidR="005A67A8" w:rsidRPr="005A67A8" w:rsidRDefault="005A67A8">
            <w:r w:rsidRPr="005A67A8">
              <w:t>E01025049</w:t>
            </w:r>
          </w:p>
        </w:tc>
        <w:tc>
          <w:tcPr>
            <w:tcW w:w="1560" w:type="dxa"/>
            <w:noWrap/>
            <w:hideMark/>
          </w:tcPr>
          <w:p w14:paraId="4BC7802D" w14:textId="77777777" w:rsidR="005A67A8" w:rsidRPr="005A67A8" w:rsidRDefault="005A67A8">
            <w:r w:rsidRPr="005A67A8">
              <w:t>Hyndburn 002E</w:t>
            </w:r>
          </w:p>
        </w:tc>
        <w:tc>
          <w:tcPr>
            <w:tcW w:w="1200" w:type="dxa"/>
            <w:noWrap/>
            <w:hideMark/>
          </w:tcPr>
          <w:p w14:paraId="3F8D2812" w14:textId="77777777" w:rsidR="005A67A8" w:rsidRPr="005A67A8" w:rsidRDefault="005A67A8">
            <w:r w:rsidRPr="005A67A8">
              <w:t>CLM</w:t>
            </w:r>
          </w:p>
        </w:tc>
        <w:tc>
          <w:tcPr>
            <w:tcW w:w="960" w:type="dxa"/>
            <w:noWrap/>
            <w:hideMark/>
          </w:tcPr>
          <w:p w14:paraId="25471FB2" w14:textId="77777777" w:rsidR="005A67A8" w:rsidRPr="005A67A8" w:rsidRDefault="005A67A8" w:rsidP="005A67A8">
            <w:r w:rsidRPr="005A67A8">
              <w:t>1</w:t>
            </w:r>
          </w:p>
        </w:tc>
        <w:tc>
          <w:tcPr>
            <w:tcW w:w="960" w:type="dxa"/>
            <w:noWrap/>
            <w:hideMark/>
          </w:tcPr>
          <w:p w14:paraId="3497AB62" w14:textId="77777777" w:rsidR="005A67A8" w:rsidRPr="005A67A8" w:rsidRDefault="005A67A8" w:rsidP="005A67A8">
            <w:r w:rsidRPr="005A67A8">
              <w:t>1</w:t>
            </w:r>
          </w:p>
        </w:tc>
        <w:tc>
          <w:tcPr>
            <w:tcW w:w="960" w:type="dxa"/>
            <w:noWrap/>
            <w:hideMark/>
          </w:tcPr>
          <w:p w14:paraId="39969F86" w14:textId="77777777" w:rsidR="005A67A8" w:rsidRPr="005A67A8" w:rsidRDefault="005A67A8" w:rsidP="005A67A8">
            <w:r w:rsidRPr="005A67A8">
              <w:t>1</w:t>
            </w:r>
          </w:p>
        </w:tc>
        <w:tc>
          <w:tcPr>
            <w:tcW w:w="960" w:type="dxa"/>
            <w:noWrap/>
            <w:hideMark/>
          </w:tcPr>
          <w:p w14:paraId="6272B81C" w14:textId="77777777" w:rsidR="005A67A8" w:rsidRPr="005A67A8" w:rsidRDefault="005A67A8" w:rsidP="005A67A8">
            <w:r w:rsidRPr="005A67A8">
              <w:t>1</w:t>
            </w:r>
          </w:p>
        </w:tc>
        <w:tc>
          <w:tcPr>
            <w:tcW w:w="960" w:type="dxa"/>
            <w:noWrap/>
            <w:hideMark/>
          </w:tcPr>
          <w:p w14:paraId="660E019B" w14:textId="77777777" w:rsidR="005A67A8" w:rsidRPr="005A67A8" w:rsidRDefault="005A67A8" w:rsidP="005A67A8">
            <w:r w:rsidRPr="005A67A8">
              <w:t>1</w:t>
            </w:r>
          </w:p>
        </w:tc>
        <w:tc>
          <w:tcPr>
            <w:tcW w:w="960" w:type="dxa"/>
            <w:noWrap/>
            <w:hideMark/>
          </w:tcPr>
          <w:p w14:paraId="426085AE" w14:textId="77777777" w:rsidR="005A67A8" w:rsidRPr="005A67A8" w:rsidRDefault="005A67A8" w:rsidP="005A67A8">
            <w:r w:rsidRPr="005A67A8">
              <w:t>1</w:t>
            </w:r>
          </w:p>
        </w:tc>
        <w:tc>
          <w:tcPr>
            <w:tcW w:w="960" w:type="dxa"/>
            <w:noWrap/>
            <w:hideMark/>
          </w:tcPr>
          <w:p w14:paraId="0BF52D0B" w14:textId="77777777" w:rsidR="005A67A8" w:rsidRPr="005A67A8" w:rsidRDefault="005A67A8" w:rsidP="005A67A8">
            <w:r w:rsidRPr="005A67A8">
              <w:t>5</w:t>
            </w:r>
          </w:p>
        </w:tc>
        <w:tc>
          <w:tcPr>
            <w:tcW w:w="960" w:type="dxa"/>
            <w:noWrap/>
            <w:hideMark/>
          </w:tcPr>
          <w:p w14:paraId="57CDC7C0" w14:textId="77777777" w:rsidR="005A67A8" w:rsidRPr="005A67A8" w:rsidRDefault="005A67A8" w:rsidP="005A67A8">
            <w:r w:rsidRPr="005A67A8">
              <w:t>1</w:t>
            </w:r>
          </w:p>
        </w:tc>
        <w:tc>
          <w:tcPr>
            <w:tcW w:w="960" w:type="dxa"/>
            <w:noWrap/>
            <w:hideMark/>
          </w:tcPr>
          <w:p w14:paraId="0C74F8E7" w14:textId="77777777" w:rsidR="005A67A8" w:rsidRPr="005A67A8" w:rsidRDefault="005A67A8" w:rsidP="005A67A8">
            <w:r w:rsidRPr="005A67A8">
              <w:t>1</w:t>
            </w:r>
          </w:p>
        </w:tc>
        <w:tc>
          <w:tcPr>
            <w:tcW w:w="960" w:type="dxa"/>
            <w:noWrap/>
            <w:hideMark/>
          </w:tcPr>
          <w:p w14:paraId="7E7D7BD3" w14:textId="77777777" w:rsidR="005A67A8" w:rsidRPr="005A67A8" w:rsidRDefault="005A67A8" w:rsidP="005A67A8">
            <w:r w:rsidRPr="005A67A8">
              <w:t>3</w:t>
            </w:r>
          </w:p>
        </w:tc>
      </w:tr>
      <w:tr w:rsidR="005A67A8" w:rsidRPr="005A67A8" w14:paraId="5D9688C0" w14:textId="77777777" w:rsidTr="005A67A8">
        <w:trPr>
          <w:trHeight w:val="210"/>
        </w:trPr>
        <w:tc>
          <w:tcPr>
            <w:tcW w:w="1780" w:type="dxa"/>
            <w:noWrap/>
            <w:hideMark/>
          </w:tcPr>
          <w:p w14:paraId="50209F47" w14:textId="77777777" w:rsidR="005A67A8" w:rsidRPr="005A67A8" w:rsidRDefault="005A67A8">
            <w:r w:rsidRPr="005A67A8">
              <w:t>E01025050</w:t>
            </w:r>
          </w:p>
        </w:tc>
        <w:tc>
          <w:tcPr>
            <w:tcW w:w="1560" w:type="dxa"/>
            <w:noWrap/>
            <w:hideMark/>
          </w:tcPr>
          <w:p w14:paraId="0E8B4475" w14:textId="77777777" w:rsidR="005A67A8" w:rsidRPr="005A67A8" w:rsidRDefault="005A67A8">
            <w:r w:rsidRPr="005A67A8">
              <w:t>Hyndburn 002F</w:t>
            </w:r>
          </w:p>
        </w:tc>
        <w:tc>
          <w:tcPr>
            <w:tcW w:w="1200" w:type="dxa"/>
            <w:noWrap/>
            <w:hideMark/>
          </w:tcPr>
          <w:p w14:paraId="0FCDF1EE" w14:textId="77777777" w:rsidR="005A67A8" w:rsidRPr="005A67A8" w:rsidRDefault="005A67A8">
            <w:r w:rsidRPr="005A67A8">
              <w:t>CLM</w:t>
            </w:r>
          </w:p>
        </w:tc>
        <w:tc>
          <w:tcPr>
            <w:tcW w:w="960" w:type="dxa"/>
            <w:noWrap/>
            <w:hideMark/>
          </w:tcPr>
          <w:p w14:paraId="6AC6FE7E" w14:textId="77777777" w:rsidR="005A67A8" w:rsidRPr="005A67A8" w:rsidRDefault="005A67A8" w:rsidP="005A67A8">
            <w:r w:rsidRPr="005A67A8">
              <w:t>4</w:t>
            </w:r>
          </w:p>
        </w:tc>
        <w:tc>
          <w:tcPr>
            <w:tcW w:w="960" w:type="dxa"/>
            <w:noWrap/>
            <w:hideMark/>
          </w:tcPr>
          <w:p w14:paraId="6F1E091A" w14:textId="77777777" w:rsidR="005A67A8" w:rsidRPr="005A67A8" w:rsidRDefault="005A67A8" w:rsidP="005A67A8">
            <w:r w:rsidRPr="005A67A8">
              <w:t>5</w:t>
            </w:r>
          </w:p>
        </w:tc>
        <w:tc>
          <w:tcPr>
            <w:tcW w:w="960" w:type="dxa"/>
            <w:noWrap/>
            <w:hideMark/>
          </w:tcPr>
          <w:p w14:paraId="6E5028D9" w14:textId="77777777" w:rsidR="005A67A8" w:rsidRPr="005A67A8" w:rsidRDefault="005A67A8" w:rsidP="005A67A8">
            <w:r w:rsidRPr="005A67A8">
              <w:t>4</w:t>
            </w:r>
          </w:p>
        </w:tc>
        <w:tc>
          <w:tcPr>
            <w:tcW w:w="960" w:type="dxa"/>
            <w:noWrap/>
            <w:hideMark/>
          </w:tcPr>
          <w:p w14:paraId="143BF729" w14:textId="77777777" w:rsidR="005A67A8" w:rsidRPr="005A67A8" w:rsidRDefault="005A67A8" w:rsidP="005A67A8">
            <w:r w:rsidRPr="005A67A8">
              <w:t>5</w:t>
            </w:r>
          </w:p>
        </w:tc>
        <w:tc>
          <w:tcPr>
            <w:tcW w:w="960" w:type="dxa"/>
            <w:noWrap/>
            <w:hideMark/>
          </w:tcPr>
          <w:p w14:paraId="5B8589C7" w14:textId="77777777" w:rsidR="005A67A8" w:rsidRPr="005A67A8" w:rsidRDefault="005A67A8" w:rsidP="005A67A8">
            <w:r w:rsidRPr="005A67A8">
              <w:t>2</w:t>
            </w:r>
          </w:p>
        </w:tc>
        <w:tc>
          <w:tcPr>
            <w:tcW w:w="960" w:type="dxa"/>
            <w:noWrap/>
            <w:hideMark/>
          </w:tcPr>
          <w:p w14:paraId="2D0385BD" w14:textId="77777777" w:rsidR="005A67A8" w:rsidRPr="005A67A8" w:rsidRDefault="005A67A8" w:rsidP="005A67A8">
            <w:r w:rsidRPr="005A67A8">
              <w:t>5</w:t>
            </w:r>
          </w:p>
        </w:tc>
        <w:tc>
          <w:tcPr>
            <w:tcW w:w="960" w:type="dxa"/>
            <w:noWrap/>
            <w:hideMark/>
          </w:tcPr>
          <w:p w14:paraId="7B2E7375" w14:textId="77777777" w:rsidR="005A67A8" w:rsidRPr="005A67A8" w:rsidRDefault="005A67A8" w:rsidP="005A67A8">
            <w:r w:rsidRPr="005A67A8">
              <w:t>5</w:t>
            </w:r>
          </w:p>
        </w:tc>
        <w:tc>
          <w:tcPr>
            <w:tcW w:w="960" w:type="dxa"/>
            <w:noWrap/>
            <w:hideMark/>
          </w:tcPr>
          <w:p w14:paraId="40103A80" w14:textId="77777777" w:rsidR="005A67A8" w:rsidRPr="005A67A8" w:rsidRDefault="005A67A8" w:rsidP="005A67A8">
            <w:r w:rsidRPr="005A67A8">
              <w:t>3</w:t>
            </w:r>
          </w:p>
        </w:tc>
        <w:tc>
          <w:tcPr>
            <w:tcW w:w="960" w:type="dxa"/>
            <w:noWrap/>
            <w:hideMark/>
          </w:tcPr>
          <w:p w14:paraId="49A12906" w14:textId="77777777" w:rsidR="005A67A8" w:rsidRPr="005A67A8" w:rsidRDefault="005A67A8" w:rsidP="005A67A8">
            <w:r w:rsidRPr="005A67A8">
              <w:t>6</w:t>
            </w:r>
          </w:p>
        </w:tc>
        <w:tc>
          <w:tcPr>
            <w:tcW w:w="960" w:type="dxa"/>
            <w:noWrap/>
            <w:hideMark/>
          </w:tcPr>
          <w:p w14:paraId="46AFB3EE" w14:textId="77777777" w:rsidR="005A67A8" w:rsidRPr="005A67A8" w:rsidRDefault="005A67A8" w:rsidP="005A67A8">
            <w:r w:rsidRPr="005A67A8">
              <w:t>5</w:t>
            </w:r>
          </w:p>
        </w:tc>
      </w:tr>
      <w:tr w:rsidR="005A67A8" w:rsidRPr="005A67A8" w14:paraId="524A15F6" w14:textId="77777777" w:rsidTr="005A67A8">
        <w:trPr>
          <w:trHeight w:val="210"/>
        </w:trPr>
        <w:tc>
          <w:tcPr>
            <w:tcW w:w="1780" w:type="dxa"/>
            <w:noWrap/>
            <w:hideMark/>
          </w:tcPr>
          <w:p w14:paraId="73091F0A" w14:textId="77777777" w:rsidR="005A67A8" w:rsidRPr="005A67A8" w:rsidRDefault="005A67A8">
            <w:r w:rsidRPr="005A67A8">
              <w:t>E01025051</w:t>
            </w:r>
          </w:p>
        </w:tc>
        <w:tc>
          <w:tcPr>
            <w:tcW w:w="1560" w:type="dxa"/>
            <w:noWrap/>
            <w:hideMark/>
          </w:tcPr>
          <w:p w14:paraId="3FF8B50C" w14:textId="77777777" w:rsidR="005A67A8" w:rsidRPr="005A67A8" w:rsidRDefault="005A67A8">
            <w:r w:rsidRPr="005A67A8">
              <w:t>Hyndburn 004A</w:t>
            </w:r>
          </w:p>
        </w:tc>
        <w:tc>
          <w:tcPr>
            <w:tcW w:w="1200" w:type="dxa"/>
            <w:noWrap/>
            <w:hideMark/>
          </w:tcPr>
          <w:p w14:paraId="43467549" w14:textId="77777777" w:rsidR="005A67A8" w:rsidRPr="005A67A8" w:rsidRDefault="005A67A8">
            <w:r w:rsidRPr="005A67A8">
              <w:t>Huncoat</w:t>
            </w:r>
          </w:p>
        </w:tc>
        <w:tc>
          <w:tcPr>
            <w:tcW w:w="960" w:type="dxa"/>
            <w:noWrap/>
            <w:hideMark/>
          </w:tcPr>
          <w:p w14:paraId="010E48E4" w14:textId="77777777" w:rsidR="005A67A8" w:rsidRPr="005A67A8" w:rsidRDefault="005A67A8" w:rsidP="005A67A8">
            <w:r w:rsidRPr="005A67A8">
              <w:t>2</w:t>
            </w:r>
          </w:p>
        </w:tc>
        <w:tc>
          <w:tcPr>
            <w:tcW w:w="960" w:type="dxa"/>
            <w:noWrap/>
            <w:hideMark/>
          </w:tcPr>
          <w:p w14:paraId="1C0EFE5D" w14:textId="77777777" w:rsidR="005A67A8" w:rsidRPr="005A67A8" w:rsidRDefault="005A67A8" w:rsidP="005A67A8">
            <w:r w:rsidRPr="005A67A8">
              <w:t>2</w:t>
            </w:r>
          </w:p>
        </w:tc>
        <w:tc>
          <w:tcPr>
            <w:tcW w:w="960" w:type="dxa"/>
            <w:noWrap/>
            <w:hideMark/>
          </w:tcPr>
          <w:p w14:paraId="0640FDB9" w14:textId="77777777" w:rsidR="005A67A8" w:rsidRPr="005A67A8" w:rsidRDefault="005A67A8" w:rsidP="005A67A8">
            <w:r w:rsidRPr="005A67A8">
              <w:t>2</w:t>
            </w:r>
          </w:p>
        </w:tc>
        <w:tc>
          <w:tcPr>
            <w:tcW w:w="960" w:type="dxa"/>
            <w:noWrap/>
            <w:hideMark/>
          </w:tcPr>
          <w:p w14:paraId="06524936" w14:textId="77777777" w:rsidR="005A67A8" w:rsidRPr="005A67A8" w:rsidRDefault="005A67A8" w:rsidP="005A67A8">
            <w:r w:rsidRPr="005A67A8">
              <w:t>4</w:t>
            </w:r>
          </w:p>
        </w:tc>
        <w:tc>
          <w:tcPr>
            <w:tcW w:w="960" w:type="dxa"/>
            <w:noWrap/>
            <w:hideMark/>
          </w:tcPr>
          <w:p w14:paraId="1DCF51C8" w14:textId="77777777" w:rsidR="005A67A8" w:rsidRPr="005A67A8" w:rsidRDefault="005A67A8" w:rsidP="005A67A8">
            <w:r w:rsidRPr="005A67A8">
              <w:t>1</w:t>
            </w:r>
          </w:p>
        </w:tc>
        <w:tc>
          <w:tcPr>
            <w:tcW w:w="960" w:type="dxa"/>
            <w:noWrap/>
            <w:hideMark/>
          </w:tcPr>
          <w:p w14:paraId="3581277B" w14:textId="77777777" w:rsidR="005A67A8" w:rsidRPr="005A67A8" w:rsidRDefault="005A67A8" w:rsidP="005A67A8">
            <w:r w:rsidRPr="005A67A8">
              <w:t>3</w:t>
            </w:r>
          </w:p>
        </w:tc>
        <w:tc>
          <w:tcPr>
            <w:tcW w:w="960" w:type="dxa"/>
            <w:noWrap/>
            <w:hideMark/>
          </w:tcPr>
          <w:p w14:paraId="36D47642" w14:textId="77777777" w:rsidR="005A67A8" w:rsidRPr="005A67A8" w:rsidRDefault="005A67A8" w:rsidP="005A67A8">
            <w:r w:rsidRPr="005A67A8">
              <w:t>3</w:t>
            </w:r>
          </w:p>
        </w:tc>
        <w:tc>
          <w:tcPr>
            <w:tcW w:w="960" w:type="dxa"/>
            <w:noWrap/>
            <w:hideMark/>
          </w:tcPr>
          <w:p w14:paraId="0FC99899" w14:textId="77777777" w:rsidR="005A67A8" w:rsidRPr="005A67A8" w:rsidRDefault="005A67A8" w:rsidP="005A67A8">
            <w:r w:rsidRPr="005A67A8">
              <w:t>8</w:t>
            </w:r>
          </w:p>
        </w:tc>
        <w:tc>
          <w:tcPr>
            <w:tcW w:w="960" w:type="dxa"/>
            <w:noWrap/>
            <w:hideMark/>
          </w:tcPr>
          <w:p w14:paraId="43EFD829" w14:textId="77777777" w:rsidR="005A67A8" w:rsidRPr="005A67A8" w:rsidRDefault="005A67A8" w:rsidP="005A67A8">
            <w:r w:rsidRPr="005A67A8">
              <w:t>2</w:t>
            </w:r>
          </w:p>
        </w:tc>
        <w:tc>
          <w:tcPr>
            <w:tcW w:w="960" w:type="dxa"/>
            <w:noWrap/>
            <w:hideMark/>
          </w:tcPr>
          <w:p w14:paraId="634467AC" w14:textId="77777777" w:rsidR="005A67A8" w:rsidRPr="005A67A8" w:rsidRDefault="005A67A8" w:rsidP="005A67A8">
            <w:r w:rsidRPr="005A67A8">
              <w:t>4</w:t>
            </w:r>
          </w:p>
        </w:tc>
      </w:tr>
      <w:tr w:rsidR="005A67A8" w:rsidRPr="005A67A8" w14:paraId="466D9C05" w14:textId="77777777" w:rsidTr="005A67A8">
        <w:trPr>
          <w:trHeight w:val="210"/>
        </w:trPr>
        <w:tc>
          <w:tcPr>
            <w:tcW w:w="1780" w:type="dxa"/>
            <w:noWrap/>
            <w:hideMark/>
          </w:tcPr>
          <w:p w14:paraId="7F396E75" w14:textId="77777777" w:rsidR="005A67A8" w:rsidRPr="005A67A8" w:rsidRDefault="005A67A8">
            <w:r w:rsidRPr="005A67A8">
              <w:t>E01025052</w:t>
            </w:r>
          </w:p>
        </w:tc>
        <w:tc>
          <w:tcPr>
            <w:tcW w:w="1560" w:type="dxa"/>
            <w:noWrap/>
            <w:hideMark/>
          </w:tcPr>
          <w:p w14:paraId="594F7484" w14:textId="77777777" w:rsidR="005A67A8" w:rsidRPr="005A67A8" w:rsidRDefault="005A67A8">
            <w:r w:rsidRPr="005A67A8">
              <w:t>Hyndburn 004B</w:t>
            </w:r>
          </w:p>
        </w:tc>
        <w:tc>
          <w:tcPr>
            <w:tcW w:w="1200" w:type="dxa"/>
            <w:noWrap/>
            <w:hideMark/>
          </w:tcPr>
          <w:p w14:paraId="5835C916" w14:textId="77777777" w:rsidR="005A67A8" w:rsidRPr="005A67A8" w:rsidRDefault="005A67A8">
            <w:r w:rsidRPr="005A67A8">
              <w:t>Huncoat</w:t>
            </w:r>
          </w:p>
        </w:tc>
        <w:tc>
          <w:tcPr>
            <w:tcW w:w="960" w:type="dxa"/>
            <w:noWrap/>
            <w:hideMark/>
          </w:tcPr>
          <w:p w14:paraId="227048BB" w14:textId="77777777" w:rsidR="005A67A8" w:rsidRPr="005A67A8" w:rsidRDefault="005A67A8" w:rsidP="005A67A8">
            <w:r w:rsidRPr="005A67A8">
              <w:t>7</w:t>
            </w:r>
          </w:p>
        </w:tc>
        <w:tc>
          <w:tcPr>
            <w:tcW w:w="960" w:type="dxa"/>
            <w:noWrap/>
            <w:hideMark/>
          </w:tcPr>
          <w:p w14:paraId="48A2EB73" w14:textId="77777777" w:rsidR="005A67A8" w:rsidRPr="005A67A8" w:rsidRDefault="005A67A8" w:rsidP="005A67A8">
            <w:r w:rsidRPr="005A67A8">
              <w:t>7</w:t>
            </w:r>
          </w:p>
        </w:tc>
        <w:tc>
          <w:tcPr>
            <w:tcW w:w="960" w:type="dxa"/>
            <w:noWrap/>
            <w:hideMark/>
          </w:tcPr>
          <w:p w14:paraId="2D2F797D" w14:textId="77777777" w:rsidR="005A67A8" w:rsidRPr="005A67A8" w:rsidRDefault="005A67A8" w:rsidP="005A67A8">
            <w:r w:rsidRPr="005A67A8">
              <w:t>7</w:t>
            </w:r>
          </w:p>
        </w:tc>
        <w:tc>
          <w:tcPr>
            <w:tcW w:w="960" w:type="dxa"/>
            <w:noWrap/>
            <w:hideMark/>
          </w:tcPr>
          <w:p w14:paraId="11547AAB" w14:textId="77777777" w:rsidR="005A67A8" w:rsidRPr="005A67A8" w:rsidRDefault="005A67A8" w:rsidP="005A67A8">
            <w:r w:rsidRPr="005A67A8">
              <w:t>8</w:t>
            </w:r>
          </w:p>
        </w:tc>
        <w:tc>
          <w:tcPr>
            <w:tcW w:w="960" w:type="dxa"/>
            <w:noWrap/>
            <w:hideMark/>
          </w:tcPr>
          <w:p w14:paraId="70F2A5D2" w14:textId="77777777" w:rsidR="005A67A8" w:rsidRPr="005A67A8" w:rsidRDefault="005A67A8" w:rsidP="005A67A8">
            <w:r w:rsidRPr="005A67A8">
              <w:t>6</w:t>
            </w:r>
          </w:p>
        </w:tc>
        <w:tc>
          <w:tcPr>
            <w:tcW w:w="960" w:type="dxa"/>
            <w:noWrap/>
            <w:hideMark/>
          </w:tcPr>
          <w:p w14:paraId="27D04FDE" w14:textId="77777777" w:rsidR="005A67A8" w:rsidRPr="005A67A8" w:rsidRDefault="005A67A8" w:rsidP="005A67A8">
            <w:r w:rsidRPr="005A67A8">
              <w:t>5</w:t>
            </w:r>
          </w:p>
        </w:tc>
        <w:tc>
          <w:tcPr>
            <w:tcW w:w="960" w:type="dxa"/>
            <w:noWrap/>
            <w:hideMark/>
          </w:tcPr>
          <w:p w14:paraId="7D94C4BF" w14:textId="77777777" w:rsidR="005A67A8" w:rsidRPr="005A67A8" w:rsidRDefault="005A67A8" w:rsidP="005A67A8">
            <w:r w:rsidRPr="005A67A8">
              <w:t>6</w:t>
            </w:r>
          </w:p>
        </w:tc>
        <w:tc>
          <w:tcPr>
            <w:tcW w:w="960" w:type="dxa"/>
            <w:noWrap/>
            <w:hideMark/>
          </w:tcPr>
          <w:p w14:paraId="4F4CD011" w14:textId="77777777" w:rsidR="005A67A8" w:rsidRPr="005A67A8" w:rsidRDefault="005A67A8" w:rsidP="005A67A8">
            <w:r w:rsidRPr="005A67A8">
              <w:t>3</w:t>
            </w:r>
          </w:p>
        </w:tc>
        <w:tc>
          <w:tcPr>
            <w:tcW w:w="960" w:type="dxa"/>
            <w:noWrap/>
            <w:hideMark/>
          </w:tcPr>
          <w:p w14:paraId="50D6FF9B" w14:textId="77777777" w:rsidR="005A67A8" w:rsidRPr="005A67A8" w:rsidRDefault="005A67A8" w:rsidP="005A67A8">
            <w:r w:rsidRPr="005A67A8">
              <w:t>8</w:t>
            </w:r>
          </w:p>
        </w:tc>
        <w:tc>
          <w:tcPr>
            <w:tcW w:w="960" w:type="dxa"/>
            <w:noWrap/>
            <w:hideMark/>
          </w:tcPr>
          <w:p w14:paraId="6318B892" w14:textId="77777777" w:rsidR="005A67A8" w:rsidRPr="005A67A8" w:rsidRDefault="005A67A8" w:rsidP="005A67A8">
            <w:r w:rsidRPr="005A67A8">
              <w:t>8</w:t>
            </w:r>
          </w:p>
        </w:tc>
      </w:tr>
      <w:tr w:rsidR="005A67A8" w:rsidRPr="005A67A8" w14:paraId="7E977A86" w14:textId="77777777" w:rsidTr="005A67A8">
        <w:trPr>
          <w:trHeight w:val="210"/>
        </w:trPr>
        <w:tc>
          <w:tcPr>
            <w:tcW w:w="1780" w:type="dxa"/>
            <w:noWrap/>
            <w:hideMark/>
          </w:tcPr>
          <w:p w14:paraId="760743A1" w14:textId="77777777" w:rsidR="005A67A8" w:rsidRPr="005A67A8" w:rsidRDefault="005A67A8">
            <w:r w:rsidRPr="005A67A8">
              <w:t>E01025053</w:t>
            </w:r>
          </w:p>
        </w:tc>
        <w:tc>
          <w:tcPr>
            <w:tcW w:w="1560" w:type="dxa"/>
            <w:noWrap/>
            <w:hideMark/>
          </w:tcPr>
          <w:p w14:paraId="0FBA7333" w14:textId="77777777" w:rsidR="005A67A8" w:rsidRPr="005A67A8" w:rsidRDefault="005A67A8">
            <w:r w:rsidRPr="005A67A8">
              <w:t>Hyndburn 002G</w:t>
            </w:r>
          </w:p>
        </w:tc>
        <w:tc>
          <w:tcPr>
            <w:tcW w:w="1200" w:type="dxa"/>
            <w:noWrap/>
            <w:hideMark/>
          </w:tcPr>
          <w:p w14:paraId="7EE21ACE" w14:textId="77777777" w:rsidR="005A67A8" w:rsidRPr="005A67A8" w:rsidRDefault="005A67A8">
            <w:r w:rsidRPr="005A67A8">
              <w:t>Huncoat</w:t>
            </w:r>
          </w:p>
        </w:tc>
        <w:tc>
          <w:tcPr>
            <w:tcW w:w="960" w:type="dxa"/>
            <w:noWrap/>
            <w:hideMark/>
          </w:tcPr>
          <w:p w14:paraId="432B4247" w14:textId="77777777" w:rsidR="005A67A8" w:rsidRPr="005A67A8" w:rsidRDefault="005A67A8" w:rsidP="005A67A8">
            <w:r w:rsidRPr="005A67A8">
              <w:t>5</w:t>
            </w:r>
          </w:p>
        </w:tc>
        <w:tc>
          <w:tcPr>
            <w:tcW w:w="960" w:type="dxa"/>
            <w:noWrap/>
            <w:hideMark/>
          </w:tcPr>
          <w:p w14:paraId="6D9A77EE" w14:textId="77777777" w:rsidR="005A67A8" w:rsidRPr="005A67A8" w:rsidRDefault="005A67A8" w:rsidP="005A67A8">
            <w:r w:rsidRPr="005A67A8">
              <w:t>5</w:t>
            </w:r>
          </w:p>
        </w:tc>
        <w:tc>
          <w:tcPr>
            <w:tcW w:w="960" w:type="dxa"/>
            <w:noWrap/>
            <w:hideMark/>
          </w:tcPr>
          <w:p w14:paraId="59F7D301" w14:textId="77777777" w:rsidR="005A67A8" w:rsidRPr="005A67A8" w:rsidRDefault="005A67A8" w:rsidP="005A67A8">
            <w:r w:rsidRPr="005A67A8">
              <w:t>5</w:t>
            </w:r>
          </w:p>
        </w:tc>
        <w:tc>
          <w:tcPr>
            <w:tcW w:w="960" w:type="dxa"/>
            <w:noWrap/>
            <w:hideMark/>
          </w:tcPr>
          <w:p w14:paraId="1366BCC9" w14:textId="77777777" w:rsidR="005A67A8" w:rsidRPr="005A67A8" w:rsidRDefault="005A67A8" w:rsidP="005A67A8">
            <w:r w:rsidRPr="005A67A8">
              <w:t>7</w:t>
            </w:r>
          </w:p>
        </w:tc>
        <w:tc>
          <w:tcPr>
            <w:tcW w:w="960" w:type="dxa"/>
            <w:noWrap/>
            <w:hideMark/>
          </w:tcPr>
          <w:p w14:paraId="67652251" w14:textId="77777777" w:rsidR="005A67A8" w:rsidRPr="005A67A8" w:rsidRDefault="005A67A8" w:rsidP="005A67A8">
            <w:r w:rsidRPr="005A67A8">
              <w:t>4</w:t>
            </w:r>
          </w:p>
        </w:tc>
        <w:tc>
          <w:tcPr>
            <w:tcW w:w="960" w:type="dxa"/>
            <w:noWrap/>
            <w:hideMark/>
          </w:tcPr>
          <w:p w14:paraId="2DE25937" w14:textId="77777777" w:rsidR="005A67A8" w:rsidRPr="005A67A8" w:rsidRDefault="005A67A8" w:rsidP="005A67A8">
            <w:r w:rsidRPr="005A67A8">
              <w:t>6</w:t>
            </w:r>
          </w:p>
        </w:tc>
        <w:tc>
          <w:tcPr>
            <w:tcW w:w="960" w:type="dxa"/>
            <w:noWrap/>
            <w:hideMark/>
          </w:tcPr>
          <w:p w14:paraId="5F855A03" w14:textId="77777777" w:rsidR="005A67A8" w:rsidRPr="005A67A8" w:rsidRDefault="005A67A8" w:rsidP="005A67A8">
            <w:r w:rsidRPr="005A67A8">
              <w:t>3</w:t>
            </w:r>
          </w:p>
        </w:tc>
        <w:tc>
          <w:tcPr>
            <w:tcW w:w="960" w:type="dxa"/>
            <w:noWrap/>
            <w:hideMark/>
          </w:tcPr>
          <w:p w14:paraId="19DB066D" w14:textId="77777777" w:rsidR="005A67A8" w:rsidRPr="005A67A8" w:rsidRDefault="005A67A8" w:rsidP="005A67A8">
            <w:r w:rsidRPr="005A67A8">
              <w:t>5</w:t>
            </w:r>
          </w:p>
        </w:tc>
        <w:tc>
          <w:tcPr>
            <w:tcW w:w="960" w:type="dxa"/>
            <w:noWrap/>
            <w:hideMark/>
          </w:tcPr>
          <w:p w14:paraId="02923534" w14:textId="77777777" w:rsidR="005A67A8" w:rsidRPr="005A67A8" w:rsidRDefault="005A67A8" w:rsidP="005A67A8">
            <w:r w:rsidRPr="005A67A8">
              <w:t>5</w:t>
            </w:r>
          </w:p>
        </w:tc>
        <w:tc>
          <w:tcPr>
            <w:tcW w:w="960" w:type="dxa"/>
            <w:noWrap/>
            <w:hideMark/>
          </w:tcPr>
          <w:p w14:paraId="3E0FC8CF" w14:textId="77777777" w:rsidR="005A67A8" w:rsidRPr="005A67A8" w:rsidRDefault="005A67A8" w:rsidP="005A67A8">
            <w:r w:rsidRPr="005A67A8">
              <w:t>5</w:t>
            </w:r>
          </w:p>
        </w:tc>
      </w:tr>
      <w:tr w:rsidR="005A67A8" w:rsidRPr="005A67A8" w14:paraId="08B67B46" w14:textId="77777777" w:rsidTr="005A67A8">
        <w:trPr>
          <w:trHeight w:val="210"/>
        </w:trPr>
        <w:tc>
          <w:tcPr>
            <w:tcW w:w="1780" w:type="dxa"/>
            <w:noWrap/>
            <w:hideMark/>
          </w:tcPr>
          <w:p w14:paraId="144468E8" w14:textId="77777777" w:rsidR="005A67A8" w:rsidRPr="005A67A8" w:rsidRDefault="005A67A8">
            <w:r w:rsidRPr="005A67A8">
              <w:t>E01025054</w:t>
            </w:r>
          </w:p>
        </w:tc>
        <w:tc>
          <w:tcPr>
            <w:tcW w:w="1560" w:type="dxa"/>
            <w:noWrap/>
            <w:hideMark/>
          </w:tcPr>
          <w:p w14:paraId="1F795A6F" w14:textId="77777777" w:rsidR="005A67A8" w:rsidRPr="005A67A8" w:rsidRDefault="005A67A8">
            <w:r w:rsidRPr="005A67A8">
              <w:t>Hyndburn 009A</w:t>
            </w:r>
          </w:p>
        </w:tc>
        <w:tc>
          <w:tcPr>
            <w:tcW w:w="1200" w:type="dxa"/>
            <w:noWrap/>
            <w:hideMark/>
          </w:tcPr>
          <w:p w14:paraId="0D8F191D" w14:textId="77777777" w:rsidR="005A67A8" w:rsidRPr="005A67A8" w:rsidRDefault="005A67A8">
            <w:r w:rsidRPr="005A67A8">
              <w:t>Immanuel</w:t>
            </w:r>
          </w:p>
        </w:tc>
        <w:tc>
          <w:tcPr>
            <w:tcW w:w="960" w:type="dxa"/>
            <w:noWrap/>
            <w:hideMark/>
          </w:tcPr>
          <w:p w14:paraId="45C31745" w14:textId="77777777" w:rsidR="005A67A8" w:rsidRPr="005A67A8" w:rsidRDefault="005A67A8" w:rsidP="005A67A8">
            <w:r w:rsidRPr="005A67A8">
              <w:t>4</w:t>
            </w:r>
          </w:p>
        </w:tc>
        <w:tc>
          <w:tcPr>
            <w:tcW w:w="960" w:type="dxa"/>
            <w:noWrap/>
            <w:hideMark/>
          </w:tcPr>
          <w:p w14:paraId="68609292" w14:textId="77777777" w:rsidR="005A67A8" w:rsidRPr="005A67A8" w:rsidRDefault="005A67A8" w:rsidP="005A67A8">
            <w:r w:rsidRPr="005A67A8">
              <w:t>5</w:t>
            </w:r>
          </w:p>
        </w:tc>
        <w:tc>
          <w:tcPr>
            <w:tcW w:w="960" w:type="dxa"/>
            <w:noWrap/>
            <w:hideMark/>
          </w:tcPr>
          <w:p w14:paraId="5BE3E971" w14:textId="77777777" w:rsidR="005A67A8" w:rsidRPr="005A67A8" w:rsidRDefault="005A67A8" w:rsidP="005A67A8">
            <w:r w:rsidRPr="005A67A8">
              <w:t>3</w:t>
            </w:r>
          </w:p>
        </w:tc>
        <w:tc>
          <w:tcPr>
            <w:tcW w:w="960" w:type="dxa"/>
            <w:noWrap/>
            <w:hideMark/>
          </w:tcPr>
          <w:p w14:paraId="517F7E4C" w14:textId="77777777" w:rsidR="005A67A8" w:rsidRPr="005A67A8" w:rsidRDefault="005A67A8" w:rsidP="005A67A8">
            <w:r w:rsidRPr="005A67A8">
              <w:t>6</w:t>
            </w:r>
          </w:p>
        </w:tc>
        <w:tc>
          <w:tcPr>
            <w:tcW w:w="960" w:type="dxa"/>
            <w:noWrap/>
            <w:hideMark/>
          </w:tcPr>
          <w:p w14:paraId="231D192E" w14:textId="77777777" w:rsidR="005A67A8" w:rsidRPr="005A67A8" w:rsidRDefault="005A67A8" w:rsidP="005A67A8">
            <w:r w:rsidRPr="005A67A8">
              <w:t>3</w:t>
            </w:r>
          </w:p>
        </w:tc>
        <w:tc>
          <w:tcPr>
            <w:tcW w:w="960" w:type="dxa"/>
            <w:noWrap/>
            <w:hideMark/>
          </w:tcPr>
          <w:p w14:paraId="2E5BBEF2" w14:textId="77777777" w:rsidR="005A67A8" w:rsidRPr="005A67A8" w:rsidRDefault="005A67A8" w:rsidP="005A67A8">
            <w:r w:rsidRPr="005A67A8">
              <w:t>3</w:t>
            </w:r>
          </w:p>
        </w:tc>
        <w:tc>
          <w:tcPr>
            <w:tcW w:w="960" w:type="dxa"/>
            <w:noWrap/>
            <w:hideMark/>
          </w:tcPr>
          <w:p w14:paraId="10B91D76" w14:textId="77777777" w:rsidR="005A67A8" w:rsidRPr="005A67A8" w:rsidRDefault="005A67A8" w:rsidP="005A67A8">
            <w:r w:rsidRPr="005A67A8">
              <w:t>4</w:t>
            </w:r>
          </w:p>
        </w:tc>
        <w:tc>
          <w:tcPr>
            <w:tcW w:w="960" w:type="dxa"/>
            <w:noWrap/>
            <w:hideMark/>
          </w:tcPr>
          <w:p w14:paraId="28ABFFA6" w14:textId="77777777" w:rsidR="005A67A8" w:rsidRPr="005A67A8" w:rsidRDefault="005A67A8" w:rsidP="005A67A8">
            <w:r w:rsidRPr="005A67A8">
              <w:t>5</w:t>
            </w:r>
          </w:p>
        </w:tc>
        <w:tc>
          <w:tcPr>
            <w:tcW w:w="960" w:type="dxa"/>
            <w:noWrap/>
            <w:hideMark/>
          </w:tcPr>
          <w:p w14:paraId="697B5D97" w14:textId="77777777" w:rsidR="005A67A8" w:rsidRPr="005A67A8" w:rsidRDefault="005A67A8" w:rsidP="005A67A8">
            <w:r w:rsidRPr="005A67A8">
              <w:t>6</w:t>
            </w:r>
          </w:p>
        </w:tc>
        <w:tc>
          <w:tcPr>
            <w:tcW w:w="960" w:type="dxa"/>
            <w:noWrap/>
            <w:hideMark/>
          </w:tcPr>
          <w:p w14:paraId="3CC26556" w14:textId="77777777" w:rsidR="005A67A8" w:rsidRPr="005A67A8" w:rsidRDefault="005A67A8" w:rsidP="005A67A8">
            <w:r w:rsidRPr="005A67A8">
              <w:t>4</w:t>
            </w:r>
          </w:p>
        </w:tc>
      </w:tr>
      <w:tr w:rsidR="005A67A8" w:rsidRPr="005A67A8" w14:paraId="5A2D9E9F" w14:textId="77777777" w:rsidTr="005A67A8">
        <w:trPr>
          <w:trHeight w:val="210"/>
        </w:trPr>
        <w:tc>
          <w:tcPr>
            <w:tcW w:w="1780" w:type="dxa"/>
            <w:noWrap/>
            <w:hideMark/>
          </w:tcPr>
          <w:p w14:paraId="5BA3D68A" w14:textId="77777777" w:rsidR="005A67A8" w:rsidRPr="005A67A8" w:rsidRDefault="005A67A8">
            <w:r w:rsidRPr="005A67A8">
              <w:t>E01025055</w:t>
            </w:r>
          </w:p>
        </w:tc>
        <w:tc>
          <w:tcPr>
            <w:tcW w:w="1560" w:type="dxa"/>
            <w:noWrap/>
            <w:hideMark/>
          </w:tcPr>
          <w:p w14:paraId="376A491F" w14:textId="77777777" w:rsidR="005A67A8" w:rsidRPr="005A67A8" w:rsidRDefault="005A67A8">
            <w:r w:rsidRPr="005A67A8">
              <w:t>Hyndburn 007A</w:t>
            </w:r>
          </w:p>
        </w:tc>
        <w:tc>
          <w:tcPr>
            <w:tcW w:w="1200" w:type="dxa"/>
            <w:noWrap/>
            <w:hideMark/>
          </w:tcPr>
          <w:p w14:paraId="0383EDB4" w14:textId="77777777" w:rsidR="005A67A8" w:rsidRPr="005A67A8" w:rsidRDefault="005A67A8">
            <w:r w:rsidRPr="005A67A8">
              <w:t>Immanuel</w:t>
            </w:r>
          </w:p>
        </w:tc>
        <w:tc>
          <w:tcPr>
            <w:tcW w:w="960" w:type="dxa"/>
            <w:noWrap/>
            <w:hideMark/>
          </w:tcPr>
          <w:p w14:paraId="7742B1C8" w14:textId="77777777" w:rsidR="005A67A8" w:rsidRPr="005A67A8" w:rsidRDefault="005A67A8" w:rsidP="005A67A8">
            <w:r w:rsidRPr="005A67A8">
              <w:t>1</w:t>
            </w:r>
          </w:p>
        </w:tc>
        <w:tc>
          <w:tcPr>
            <w:tcW w:w="960" w:type="dxa"/>
            <w:noWrap/>
            <w:hideMark/>
          </w:tcPr>
          <w:p w14:paraId="54AB49FB" w14:textId="77777777" w:rsidR="005A67A8" w:rsidRPr="005A67A8" w:rsidRDefault="005A67A8" w:rsidP="005A67A8">
            <w:r w:rsidRPr="005A67A8">
              <w:t>2</w:t>
            </w:r>
          </w:p>
        </w:tc>
        <w:tc>
          <w:tcPr>
            <w:tcW w:w="960" w:type="dxa"/>
            <w:noWrap/>
            <w:hideMark/>
          </w:tcPr>
          <w:p w14:paraId="4A41F3A1" w14:textId="77777777" w:rsidR="005A67A8" w:rsidRPr="005A67A8" w:rsidRDefault="005A67A8" w:rsidP="005A67A8">
            <w:r w:rsidRPr="005A67A8">
              <w:t>1</w:t>
            </w:r>
          </w:p>
        </w:tc>
        <w:tc>
          <w:tcPr>
            <w:tcW w:w="960" w:type="dxa"/>
            <w:noWrap/>
            <w:hideMark/>
          </w:tcPr>
          <w:p w14:paraId="5F2C5256" w14:textId="77777777" w:rsidR="005A67A8" w:rsidRPr="005A67A8" w:rsidRDefault="005A67A8" w:rsidP="005A67A8">
            <w:r w:rsidRPr="005A67A8">
              <w:t>3</w:t>
            </w:r>
          </w:p>
        </w:tc>
        <w:tc>
          <w:tcPr>
            <w:tcW w:w="960" w:type="dxa"/>
            <w:noWrap/>
            <w:hideMark/>
          </w:tcPr>
          <w:p w14:paraId="425F87D5" w14:textId="77777777" w:rsidR="005A67A8" w:rsidRPr="005A67A8" w:rsidRDefault="005A67A8" w:rsidP="005A67A8">
            <w:r w:rsidRPr="005A67A8">
              <w:t>1</w:t>
            </w:r>
          </w:p>
        </w:tc>
        <w:tc>
          <w:tcPr>
            <w:tcW w:w="960" w:type="dxa"/>
            <w:noWrap/>
            <w:hideMark/>
          </w:tcPr>
          <w:p w14:paraId="65EAC101" w14:textId="77777777" w:rsidR="005A67A8" w:rsidRPr="005A67A8" w:rsidRDefault="005A67A8" w:rsidP="005A67A8">
            <w:r w:rsidRPr="005A67A8">
              <w:t>2</w:t>
            </w:r>
          </w:p>
        </w:tc>
        <w:tc>
          <w:tcPr>
            <w:tcW w:w="960" w:type="dxa"/>
            <w:noWrap/>
            <w:hideMark/>
          </w:tcPr>
          <w:p w14:paraId="79FB4044" w14:textId="77777777" w:rsidR="005A67A8" w:rsidRPr="005A67A8" w:rsidRDefault="005A67A8" w:rsidP="005A67A8">
            <w:r w:rsidRPr="005A67A8">
              <w:t>6</w:t>
            </w:r>
          </w:p>
        </w:tc>
        <w:tc>
          <w:tcPr>
            <w:tcW w:w="960" w:type="dxa"/>
            <w:noWrap/>
            <w:hideMark/>
          </w:tcPr>
          <w:p w14:paraId="36DD690A" w14:textId="77777777" w:rsidR="005A67A8" w:rsidRPr="005A67A8" w:rsidRDefault="005A67A8" w:rsidP="005A67A8">
            <w:r w:rsidRPr="005A67A8">
              <w:t>1</w:t>
            </w:r>
          </w:p>
        </w:tc>
        <w:tc>
          <w:tcPr>
            <w:tcW w:w="960" w:type="dxa"/>
            <w:noWrap/>
            <w:hideMark/>
          </w:tcPr>
          <w:p w14:paraId="671373AE" w14:textId="77777777" w:rsidR="005A67A8" w:rsidRPr="005A67A8" w:rsidRDefault="005A67A8" w:rsidP="005A67A8">
            <w:r w:rsidRPr="005A67A8">
              <w:t>2</w:t>
            </w:r>
          </w:p>
        </w:tc>
        <w:tc>
          <w:tcPr>
            <w:tcW w:w="960" w:type="dxa"/>
            <w:noWrap/>
            <w:hideMark/>
          </w:tcPr>
          <w:p w14:paraId="7049CC40" w14:textId="77777777" w:rsidR="005A67A8" w:rsidRPr="005A67A8" w:rsidRDefault="005A67A8" w:rsidP="005A67A8">
            <w:r w:rsidRPr="005A67A8">
              <w:t>2</w:t>
            </w:r>
          </w:p>
        </w:tc>
      </w:tr>
      <w:tr w:rsidR="005A67A8" w:rsidRPr="005A67A8" w14:paraId="04568B04" w14:textId="77777777" w:rsidTr="005A67A8">
        <w:trPr>
          <w:trHeight w:val="210"/>
        </w:trPr>
        <w:tc>
          <w:tcPr>
            <w:tcW w:w="1780" w:type="dxa"/>
            <w:noWrap/>
            <w:hideMark/>
          </w:tcPr>
          <w:p w14:paraId="232B1ED8" w14:textId="77777777" w:rsidR="005A67A8" w:rsidRPr="005A67A8" w:rsidRDefault="005A67A8">
            <w:r w:rsidRPr="005A67A8">
              <w:t>E01025056</w:t>
            </w:r>
          </w:p>
        </w:tc>
        <w:tc>
          <w:tcPr>
            <w:tcW w:w="1560" w:type="dxa"/>
            <w:noWrap/>
            <w:hideMark/>
          </w:tcPr>
          <w:p w14:paraId="484AF938" w14:textId="77777777" w:rsidR="005A67A8" w:rsidRPr="005A67A8" w:rsidRDefault="005A67A8">
            <w:r w:rsidRPr="005A67A8">
              <w:t>Hyndburn 009B</w:t>
            </w:r>
          </w:p>
        </w:tc>
        <w:tc>
          <w:tcPr>
            <w:tcW w:w="1200" w:type="dxa"/>
            <w:noWrap/>
            <w:hideMark/>
          </w:tcPr>
          <w:p w14:paraId="7F47AE62" w14:textId="77777777" w:rsidR="005A67A8" w:rsidRPr="005A67A8" w:rsidRDefault="005A67A8">
            <w:r w:rsidRPr="005A67A8">
              <w:t>Immanuel</w:t>
            </w:r>
          </w:p>
        </w:tc>
        <w:tc>
          <w:tcPr>
            <w:tcW w:w="960" w:type="dxa"/>
            <w:noWrap/>
            <w:hideMark/>
          </w:tcPr>
          <w:p w14:paraId="7BF9EC05" w14:textId="77777777" w:rsidR="005A67A8" w:rsidRPr="005A67A8" w:rsidRDefault="005A67A8" w:rsidP="005A67A8">
            <w:r w:rsidRPr="005A67A8">
              <w:t>8</w:t>
            </w:r>
          </w:p>
        </w:tc>
        <w:tc>
          <w:tcPr>
            <w:tcW w:w="960" w:type="dxa"/>
            <w:noWrap/>
            <w:hideMark/>
          </w:tcPr>
          <w:p w14:paraId="3DE076ED" w14:textId="77777777" w:rsidR="005A67A8" w:rsidRPr="005A67A8" w:rsidRDefault="005A67A8" w:rsidP="005A67A8">
            <w:r w:rsidRPr="005A67A8">
              <w:t>9</w:t>
            </w:r>
          </w:p>
        </w:tc>
        <w:tc>
          <w:tcPr>
            <w:tcW w:w="960" w:type="dxa"/>
            <w:noWrap/>
            <w:hideMark/>
          </w:tcPr>
          <w:p w14:paraId="673F265B" w14:textId="77777777" w:rsidR="005A67A8" w:rsidRPr="005A67A8" w:rsidRDefault="005A67A8" w:rsidP="005A67A8">
            <w:r w:rsidRPr="005A67A8">
              <w:t>7</w:t>
            </w:r>
          </w:p>
        </w:tc>
        <w:tc>
          <w:tcPr>
            <w:tcW w:w="960" w:type="dxa"/>
            <w:noWrap/>
            <w:hideMark/>
          </w:tcPr>
          <w:p w14:paraId="7CAF5D1A" w14:textId="77777777" w:rsidR="005A67A8" w:rsidRPr="005A67A8" w:rsidRDefault="005A67A8" w:rsidP="005A67A8">
            <w:r w:rsidRPr="005A67A8">
              <w:t>8</w:t>
            </w:r>
          </w:p>
        </w:tc>
        <w:tc>
          <w:tcPr>
            <w:tcW w:w="960" w:type="dxa"/>
            <w:noWrap/>
            <w:hideMark/>
          </w:tcPr>
          <w:p w14:paraId="6E93ABCC" w14:textId="77777777" w:rsidR="005A67A8" w:rsidRPr="005A67A8" w:rsidRDefault="005A67A8" w:rsidP="005A67A8">
            <w:r w:rsidRPr="005A67A8">
              <w:t>5</w:t>
            </w:r>
          </w:p>
        </w:tc>
        <w:tc>
          <w:tcPr>
            <w:tcW w:w="960" w:type="dxa"/>
            <w:noWrap/>
            <w:hideMark/>
          </w:tcPr>
          <w:p w14:paraId="3232ACF8" w14:textId="77777777" w:rsidR="005A67A8" w:rsidRPr="005A67A8" w:rsidRDefault="005A67A8" w:rsidP="005A67A8">
            <w:r w:rsidRPr="005A67A8">
              <w:t>8</w:t>
            </w:r>
          </w:p>
        </w:tc>
        <w:tc>
          <w:tcPr>
            <w:tcW w:w="960" w:type="dxa"/>
            <w:noWrap/>
            <w:hideMark/>
          </w:tcPr>
          <w:p w14:paraId="5D22634F" w14:textId="77777777" w:rsidR="005A67A8" w:rsidRPr="005A67A8" w:rsidRDefault="005A67A8" w:rsidP="005A67A8">
            <w:r w:rsidRPr="005A67A8">
              <w:t>7</w:t>
            </w:r>
          </w:p>
        </w:tc>
        <w:tc>
          <w:tcPr>
            <w:tcW w:w="960" w:type="dxa"/>
            <w:noWrap/>
            <w:hideMark/>
          </w:tcPr>
          <w:p w14:paraId="0B48B6E7" w14:textId="77777777" w:rsidR="005A67A8" w:rsidRPr="005A67A8" w:rsidRDefault="005A67A8" w:rsidP="005A67A8">
            <w:r w:rsidRPr="005A67A8">
              <w:t>4</w:t>
            </w:r>
          </w:p>
        </w:tc>
        <w:tc>
          <w:tcPr>
            <w:tcW w:w="960" w:type="dxa"/>
            <w:noWrap/>
            <w:hideMark/>
          </w:tcPr>
          <w:p w14:paraId="7F9D704A" w14:textId="77777777" w:rsidR="005A67A8" w:rsidRPr="005A67A8" w:rsidRDefault="005A67A8" w:rsidP="005A67A8">
            <w:r w:rsidRPr="005A67A8">
              <w:t>9</w:t>
            </w:r>
          </w:p>
        </w:tc>
        <w:tc>
          <w:tcPr>
            <w:tcW w:w="960" w:type="dxa"/>
            <w:noWrap/>
            <w:hideMark/>
          </w:tcPr>
          <w:p w14:paraId="55E9C5CF" w14:textId="77777777" w:rsidR="005A67A8" w:rsidRPr="005A67A8" w:rsidRDefault="005A67A8" w:rsidP="005A67A8">
            <w:r w:rsidRPr="005A67A8">
              <w:t>9</w:t>
            </w:r>
          </w:p>
        </w:tc>
      </w:tr>
      <w:tr w:rsidR="005A67A8" w:rsidRPr="005A67A8" w14:paraId="1115AE33" w14:textId="77777777" w:rsidTr="005A67A8">
        <w:trPr>
          <w:trHeight w:val="210"/>
        </w:trPr>
        <w:tc>
          <w:tcPr>
            <w:tcW w:w="1780" w:type="dxa"/>
            <w:noWrap/>
            <w:hideMark/>
          </w:tcPr>
          <w:p w14:paraId="071FD2C0" w14:textId="77777777" w:rsidR="005A67A8" w:rsidRPr="005A67A8" w:rsidRDefault="005A67A8">
            <w:r w:rsidRPr="005A67A8">
              <w:t>E01025057</w:t>
            </w:r>
          </w:p>
        </w:tc>
        <w:tc>
          <w:tcPr>
            <w:tcW w:w="1560" w:type="dxa"/>
            <w:noWrap/>
            <w:hideMark/>
          </w:tcPr>
          <w:p w14:paraId="6AE4CF5D" w14:textId="77777777" w:rsidR="005A67A8" w:rsidRPr="005A67A8" w:rsidRDefault="005A67A8">
            <w:r w:rsidRPr="005A67A8">
              <w:t>Hyndburn 004C</w:t>
            </w:r>
          </w:p>
        </w:tc>
        <w:tc>
          <w:tcPr>
            <w:tcW w:w="1200" w:type="dxa"/>
            <w:noWrap/>
            <w:hideMark/>
          </w:tcPr>
          <w:p w14:paraId="66F404CA" w14:textId="77777777" w:rsidR="005A67A8" w:rsidRPr="005A67A8" w:rsidRDefault="005A67A8">
            <w:proofErr w:type="spellStart"/>
            <w:r w:rsidRPr="005A67A8">
              <w:t>Milnshaw</w:t>
            </w:r>
            <w:proofErr w:type="spellEnd"/>
          </w:p>
        </w:tc>
        <w:tc>
          <w:tcPr>
            <w:tcW w:w="960" w:type="dxa"/>
            <w:noWrap/>
            <w:hideMark/>
          </w:tcPr>
          <w:p w14:paraId="3A68A9B3" w14:textId="77777777" w:rsidR="005A67A8" w:rsidRPr="005A67A8" w:rsidRDefault="005A67A8" w:rsidP="005A67A8">
            <w:r w:rsidRPr="005A67A8">
              <w:t>3</w:t>
            </w:r>
          </w:p>
        </w:tc>
        <w:tc>
          <w:tcPr>
            <w:tcW w:w="960" w:type="dxa"/>
            <w:noWrap/>
            <w:hideMark/>
          </w:tcPr>
          <w:p w14:paraId="5C431C94" w14:textId="77777777" w:rsidR="005A67A8" w:rsidRPr="005A67A8" w:rsidRDefault="005A67A8" w:rsidP="005A67A8">
            <w:r w:rsidRPr="005A67A8">
              <w:t>3</w:t>
            </w:r>
          </w:p>
        </w:tc>
        <w:tc>
          <w:tcPr>
            <w:tcW w:w="960" w:type="dxa"/>
            <w:noWrap/>
            <w:hideMark/>
          </w:tcPr>
          <w:p w14:paraId="15AC50D4" w14:textId="77777777" w:rsidR="005A67A8" w:rsidRPr="005A67A8" w:rsidRDefault="005A67A8" w:rsidP="005A67A8">
            <w:r w:rsidRPr="005A67A8">
              <w:t>3</w:t>
            </w:r>
          </w:p>
        </w:tc>
        <w:tc>
          <w:tcPr>
            <w:tcW w:w="960" w:type="dxa"/>
            <w:noWrap/>
            <w:hideMark/>
          </w:tcPr>
          <w:p w14:paraId="0EA5A08C" w14:textId="77777777" w:rsidR="005A67A8" w:rsidRPr="005A67A8" w:rsidRDefault="005A67A8" w:rsidP="005A67A8">
            <w:r w:rsidRPr="005A67A8">
              <w:t>4</w:t>
            </w:r>
          </w:p>
        </w:tc>
        <w:tc>
          <w:tcPr>
            <w:tcW w:w="960" w:type="dxa"/>
            <w:noWrap/>
            <w:hideMark/>
          </w:tcPr>
          <w:p w14:paraId="030CD1F0" w14:textId="77777777" w:rsidR="005A67A8" w:rsidRPr="005A67A8" w:rsidRDefault="005A67A8" w:rsidP="005A67A8">
            <w:r w:rsidRPr="005A67A8">
              <w:t>3</w:t>
            </w:r>
          </w:p>
        </w:tc>
        <w:tc>
          <w:tcPr>
            <w:tcW w:w="960" w:type="dxa"/>
            <w:noWrap/>
            <w:hideMark/>
          </w:tcPr>
          <w:p w14:paraId="1DDE84B5" w14:textId="77777777" w:rsidR="005A67A8" w:rsidRPr="005A67A8" w:rsidRDefault="005A67A8" w:rsidP="005A67A8">
            <w:r w:rsidRPr="005A67A8">
              <w:t>3</w:t>
            </w:r>
          </w:p>
        </w:tc>
        <w:tc>
          <w:tcPr>
            <w:tcW w:w="960" w:type="dxa"/>
            <w:noWrap/>
            <w:hideMark/>
          </w:tcPr>
          <w:p w14:paraId="7C95E726" w14:textId="77777777" w:rsidR="005A67A8" w:rsidRPr="005A67A8" w:rsidRDefault="005A67A8" w:rsidP="005A67A8">
            <w:r w:rsidRPr="005A67A8">
              <w:t>9</w:t>
            </w:r>
          </w:p>
        </w:tc>
        <w:tc>
          <w:tcPr>
            <w:tcW w:w="960" w:type="dxa"/>
            <w:noWrap/>
            <w:hideMark/>
          </w:tcPr>
          <w:p w14:paraId="1DD19405" w14:textId="77777777" w:rsidR="005A67A8" w:rsidRPr="005A67A8" w:rsidRDefault="005A67A8" w:rsidP="005A67A8">
            <w:r w:rsidRPr="005A67A8">
              <w:t>1</w:t>
            </w:r>
          </w:p>
        </w:tc>
        <w:tc>
          <w:tcPr>
            <w:tcW w:w="960" w:type="dxa"/>
            <w:noWrap/>
            <w:hideMark/>
          </w:tcPr>
          <w:p w14:paraId="0C2836FF" w14:textId="77777777" w:rsidR="005A67A8" w:rsidRPr="005A67A8" w:rsidRDefault="005A67A8" w:rsidP="005A67A8">
            <w:r w:rsidRPr="005A67A8">
              <w:t>3</w:t>
            </w:r>
          </w:p>
        </w:tc>
        <w:tc>
          <w:tcPr>
            <w:tcW w:w="960" w:type="dxa"/>
            <w:noWrap/>
            <w:hideMark/>
          </w:tcPr>
          <w:p w14:paraId="7DD28A6F" w14:textId="77777777" w:rsidR="005A67A8" w:rsidRPr="005A67A8" w:rsidRDefault="005A67A8" w:rsidP="005A67A8">
            <w:r w:rsidRPr="005A67A8">
              <w:t>6</w:t>
            </w:r>
          </w:p>
        </w:tc>
      </w:tr>
      <w:tr w:rsidR="005A67A8" w:rsidRPr="005A67A8" w14:paraId="3852EED8" w14:textId="77777777" w:rsidTr="005A67A8">
        <w:trPr>
          <w:trHeight w:val="210"/>
        </w:trPr>
        <w:tc>
          <w:tcPr>
            <w:tcW w:w="1780" w:type="dxa"/>
            <w:noWrap/>
            <w:hideMark/>
          </w:tcPr>
          <w:p w14:paraId="07C8A755" w14:textId="77777777" w:rsidR="005A67A8" w:rsidRPr="005A67A8" w:rsidRDefault="005A67A8">
            <w:r w:rsidRPr="005A67A8">
              <w:t>E01025058</w:t>
            </w:r>
          </w:p>
        </w:tc>
        <w:tc>
          <w:tcPr>
            <w:tcW w:w="1560" w:type="dxa"/>
            <w:noWrap/>
            <w:hideMark/>
          </w:tcPr>
          <w:p w14:paraId="37C82253" w14:textId="77777777" w:rsidR="005A67A8" w:rsidRPr="005A67A8" w:rsidRDefault="005A67A8">
            <w:r w:rsidRPr="005A67A8">
              <w:t>Hyndburn 004D</w:t>
            </w:r>
          </w:p>
        </w:tc>
        <w:tc>
          <w:tcPr>
            <w:tcW w:w="1200" w:type="dxa"/>
            <w:noWrap/>
            <w:hideMark/>
          </w:tcPr>
          <w:p w14:paraId="13D997B5" w14:textId="77777777" w:rsidR="005A67A8" w:rsidRPr="005A67A8" w:rsidRDefault="005A67A8">
            <w:proofErr w:type="spellStart"/>
            <w:r w:rsidRPr="005A67A8">
              <w:t>Milnshaw</w:t>
            </w:r>
            <w:proofErr w:type="spellEnd"/>
          </w:p>
        </w:tc>
        <w:tc>
          <w:tcPr>
            <w:tcW w:w="960" w:type="dxa"/>
            <w:noWrap/>
            <w:hideMark/>
          </w:tcPr>
          <w:p w14:paraId="1D9DAE28" w14:textId="77777777" w:rsidR="005A67A8" w:rsidRPr="005A67A8" w:rsidRDefault="005A67A8" w:rsidP="005A67A8">
            <w:r w:rsidRPr="005A67A8">
              <w:t>2</w:t>
            </w:r>
          </w:p>
        </w:tc>
        <w:tc>
          <w:tcPr>
            <w:tcW w:w="960" w:type="dxa"/>
            <w:noWrap/>
            <w:hideMark/>
          </w:tcPr>
          <w:p w14:paraId="452EFF3C" w14:textId="77777777" w:rsidR="005A67A8" w:rsidRPr="005A67A8" w:rsidRDefault="005A67A8" w:rsidP="005A67A8">
            <w:r w:rsidRPr="005A67A8">
              <w:t>3</w:t>
            </w:r>
          </w:p>
        </w:tc>
        <w:tc>
          <w:tcPr>
            <w:tcW w:w="960" w:type="dxa"/>
            <w:noWrap/>
            <w:hideMark/>
          </w:tcPr>
          <w:p w14:paraId="37027E4F" w14:textId="77777777" w:rsidR="005A67A8" w:rsidRPr="005A67A8" w:rsidRDefault="005A67A8" w:rsidP="005A67A8">
            <w:r w:rsidRPr="005A67A8">
              <w:t>2</w:t>
            </w:r>
          </w:p>
        </w:tc>
        <w:tc>
          <w:tcPr>
            <w:tcW w:w="960" w:type="dxa"/>
            <w:noWrap/>
            <w:hideMark/>
          </w:tcPr>
          <w:p w14:paraId="75B46A8C" w14:textId="77777777" w:rsidR="005A67A8" w:rsidRPr="005A67A8" w:rsidRDefault="005A67A8" w:rsidP="005A67A8">
            <w:r w:rsidRPr="005A67A8">
              <w:t>3</w:t>
            </w:r>
          </w:p>
        </w:tc>
        <w:tc>
          <w:tcPr>
            <w:tcW w:w="960" w:type="dxa"/>
            <w:noWrap/>
            <w:hideMark/>
          </w:tcPr>
          <w:p w14:paraId="25687280" w14:textId="77777777" w:rsidR="005A67A8" w:rsidRPr="005A67A8" w:rsidRDefault="005A67A8" w:rsidP="005A67A8">
            <w:r w:rsidRPr="005A67A8">
              <w:t>1</w:t>
            </w:r>
          </w:p>
        </w:tc>
        <w:tc>
          <w:tcPr>
            <w:tcW w:w="960" w:type="dxa"/>
            <w:noWrap/>
            <w:hideMark/>
          </w:tcPr>
          <w:p w14:paraId="32FD52DF" w14:textId="77777777" w:rsidR="005A67A8" w:rsidRPr="005A67A8" w:rsidRDefault="005A67A8" w:rsidP="005A67A8">
            <w:r w:rsidRPr="005A67A8">
              <w:t>2</w:t>
            </w:r>
          </w:p>
        </w:tc>
        <w:tc>
          <w:tcPr>
            <w:tcW w:w="960" w:type="dxa"/>
            <w:noWrap/>
            <w:hideMark/>
          </w:tcPr>
          <w:p w14:paraId="3B60FB98" w14:textId="77777777" w:rsidR="005A67A8" w:rsidRPr="005A67A8" w:rsidRDefault="005A67A8" w:rsidP="005A67A8">
            <w:r w:rsidRPr="005A67A8">
              <w:t>6</w:t>
            </w:r>
          </w:p>
        </w:tc>
        <w:tc>
          <w:tcPr>
            <w:tcW w:w="960" w:type="dxa"/>
            <w:noWrap/>
            <w:hideMark/>
          </w:tcPr>
          <w:p w14:paraId="12A0D41B" w14:textId="77777777" w:rsidR="005A67A8" w:rsidRPr="005A67A8" w:rsidRDefault="005A67A8" w:rsidP="005A67A8">
            <w:r w:rsidRPr="005A67A8">
              <w:t>3</w:t>
            </w:r>
          </w:p>
        </w:tc>
        <w:tc>
          <w:tcPr>
            <w:tcW w:w="960" w:type="dxa"/>
            <w:noWrap/>
            <w:hideMark/>
          </w:tcPr>
          <w:p w14:paraId="3EF5DA23" w14:textId="77777777" w:rsidR="005A67A8" w:rsidRPr="005A67A8" w:rsidRDefault="005A67A8" w:rsidP="005A67A8">
            <w:r w:rsidRPr="005A67A8">
              <w:t>3</w:t>
            </w:r>
          </w:p>
        </w:tc>
        <w:tc>
          <w:tcPr>
            <w:tcW w:w="960" w:type="dxa"/>
            <w:noWrap/>
            <w:hideMark/>
          </w:tcPr>
          <w:p w14:paraId="78BE51BE" w14:textId="77777777" w:rsidR="005A67A8" w:rsidRPr="005A67A8" w:rsidRDefault="005A67A8" w:rsidP="005A67A8">
            <w:r w:rsidRPr="005A67A8">
              <w:t>3</w:t>
            </w:r>
          </w:p>
        </w:tc>
      </w:tr>
      <w:tr w:rsidR="005A67A8" w:rsidRPr="005A67A8" w14:paraId="04EF791C" w14:textId="77777777" w:rsidTr="005A67A8">
        <w:trPr>
          <w:trHeight w:val="210"/>
        </w:trPr>
        <w:tc>
          <w:tcPr>
            <w:tcW w:w="1780" w:type="dxa"/>
            <w:noWrap/>
            <w:hideMark/>
          </w:tcPr>
          <w:p w14:paraId="60A1A205" w14:textId="77777777" w:rsidR="005A67A8" w:rsidRPr="005A67A8" w:rsidRDefault="005A67A8">
            <w:r w:rsidRPr="005A67A8">
              <w:t>E01025059</w:t>
            </w:r>
          </w:p>
        </w:tc>
        <w:tc>
          <w:tcPr>
            <w:tcW w:w="1560" w:type="dxa"/>
            <w:noWrap/>
            <w:hideMark/>
          </w:tcPr>
          <w:p w14:paraId="33D17395" w14:textId="77777777" w:rsidR="005A67A8" w:rsidRPr="005A67A8" w:rsidRDefault="005A67A8">
            <w:r w:rsidRPr="005A67A8">
              <w:t>Hyndburn 004E</w:t>
            </w:r>
          </w:p>
        </w:tc>
        <w:tc>
          <w:tcPr>
            <w:tcW w:w="1200" w:type="dxa"/>
            <w:noWrap/>
            <w:hideMark/>
          </w:tcPr>
          <w:p w14:paraId="054BE5D6" w14:textId="77777777" w:rsidR="005A67A8" w:rsidRPr="005A67A8" w:rsidRDefault="005A67A8">
            <w:proofErr w:type="spellStart"/>
            <w:r w:rsidRPr="005A67A8">
              <w:t>Milnshaw</w:t>
            </w:r>
            <w:proofErr w:type="spellEnd"/>
          </w:p>
        </w:tc>
        <w:tc>
          <w:tcPr>
            <w:tcW w:w="960" w:type="dxa"/>
            <w:noWrap/>
            <w:hideMark/>
          </w:tcPr>
          <w:p w14:paraId="4BBCF9E4" w14:textId="77777777" w:rsidR="005A67A8" w:rsidRPr="005A67A8" w:rsidRDefault="005A67A8" w:rsidP="005A67A8">
            <w:r w:rsidRPr="005A67A8">
              <w:t>3</w:t>
            </w:r>
          </w:p>
        </w:tc>
        <w:tc>
          <w:tcPr>
            <w:tcW w:w="960" w:type="dxa"/>
            <w:noWrap/>
            <w:hideMark/>
          </w:tcPr>
          <w:p w14:paraId="2BCB6DAE" w14:textId="77777777" w:rsidR="005A67A8" w:rsidRPr="005A67A8" w:rsidRDefault="005A67A8" w:rsidP="005A67A8">
            <w:r w:rsidRPr="005A67A8">
              <w:t>3</w:t>
            </w:r>
          </w:p>
        </w:tc>
        <w:tc>
          <w:tcPr>
            <w:tcW w:w="960" w:type="dxa"/>
            <w:noWrap/>
            <w:hideMark/>
          </w:tcPr>
          <w:p w14:paraId="363B7B7C" w14:textId="77777777" w:rsidR="005A67A8" w:rsidRPr="005A67A8" w:rsidRDefault="005A67A8" w:rsidP="005A67A8">
            <w:r w:rsidRPr="005A67A8">
              <w:t>3</w:t>
            </w:r>
          </w:p>
        </w:tc>
        <w:tc>
          <w:tcPr>
            <w:tcW w:w="960" w:type="dxa"/>
            <w:noWrap/>
            <w:hideMark/>
          </w:tcPr>
          <w:p w14:paraId="22FD24A2" w14:textId="77777777" w:rsidR="005A67A8" w:rsidRPr="005A67A8" w:rsidRDefault="005A67A8" w:rsidP="005A67A8">
            <w:r w:rsidRPr="005A67A8">
              <w:t>3</w:t>
            </w:r>
          </w:p>
        </w:tc>
        <w:tc>
          <w:tcPr>
            <w:tcW w:w="960" w:type="dxa"/>
            <w:noWrap/>
            <w:hideMark/>
          </w:tcPr>
          <w:p w14:paraId="6473137F" w14:textId="77777777" w:rsidR="005A67A8" w:rsidRPr="005A67A8" w:rsidRDefault="005A67A8" w:rsidP="005A67A8">
            <w:r w:rsidRPr="005A67A8">
              <w:t>2</w:t>
            </w:r>
          </w:p>
        </w:tc>
        <w:tc>
          <w:tcPr>
            <w:tcW w:w="960" w:type="dxa"/>
            <w:noWrap/>
            <w:hideMark/>
          </w:tcPr>
          <w:p w14:paraId="2DBFD544" w14:textId="77777777" w:rsidR="005A67A8" w:rsidRPr="005A67A8" w:rsidRDefault="005A67A8" w:rsidP="005A67A8">
            <w:r w:rsidRPr="005A67A8">
              <w:t>3</w:t>
            </w:r>
          </w:p>
        </w:tc>
        <w:tc>
          <w:tcPr>
            <w:tcW w:w="960" w:type="dxa"/>
            <w:noWrap/>
            <w:hideMark/>
          </w:tcPr>
          <w:p w14:paraId="33655B49" w14:textId="77777777" w:rsidR="005A67A8" w:rsidRPr="005A67A8" w:rsidRDefault="005A67A8" w:rsidP="005A67A8">
            <w:r w:rsidRPr="005A67A8">
              <w:t>8</w:t>
            </w:r>
          </w:p>
        </w:tc>
        <w:tc>
          <w:tcPr>
            <w:tcW w:w="960" w:type="dxa"/>
            <w:noWrap/>
            <w:hideMark/>
          </w:tcPr>
          <w:p w14:paraId="526BC13B" w14:textId="77777777" w:rsidR="005A67A8" w:rsidRPr="005A67A8" w:rsidRDefault="005A67A8" w:rsidP="005A67A8">
            <w:r w:rsidRPr="005A67A8">
              <w:t>5</w:t>
            </w:r>
          </w:p>
        </w:tc>
        <w:tc>
          <w:tcPr>
            <w:tcW w:w="960" w:type="dxa"/>
            <w:noWrap/>
            <w:hideMark/>
          </w:tcPr>
          <w:p w14:paraId="0AE0D9BD" w14:textId="77777777" w:rsidR="005A67A8" w:rsidRPr="005A67A8" w:rsidRDefault="005A67A8" w:rsidP="005A67A8">
            <w:r w:rsidRPr="005A67A8">
              <w:t>3</w:t>
            </w:r>
          </w:p>
        </w:tc>
        <w:tc>
          <w:tcPr>
            <w:tcW w:w="960" w:type="dxa"/>
            <w:noWrap/>
            <w:hideMark/>
          </w:tcPr>
          <w:p w14:paraId="6F0DF150" w14:textId="77777777" w:rsidR="005A67A8" w:rsidRPr="005A67A8" w:rsidRDefault="005A67A8" w:rsidP="005A67A8">
            <w:r w:rsidRPr="005A67A8">
              <w:t>4</w:t>
            </w:r>
          </w:p>
        </w:tc>
      </w:tr>
      <w:tr w:rsidR="005A67A8" w:rsidRPr="005A67A8" w14:paraId="046CA490" w14:textId="77777777" w:rsidTr="005A67A8">
        <w:trPr>
          <w:trHeight w:val="210"/>
        </w:trPr>
        <w:tc>
          <w:tcPr>
            <w:tcW w:w="1780" w:type="dxa"/>
            <w:noWrap/>
            <w:hideMark/>
          </w:tcPr>
          <w:p w14:paraId="7205E223" w14:textId="77777777" w:rsidR="005A67A8" w:rsidRPr="005A67A8" w:rsidRDefault="005A67A8">
            <w:r w:rsidRPr="005A67A8">
              <w:t>E01025060</w:t>
            </w:r>
          </w:p>
        </w:tc>
        <w:tc>
          <w:tcPr>
            <w:tcW w:w="1560" w:type="dxa"/>
            <w:noWrap/>
            <w:hideMark/>
          </w:tcPr>
          <w:p w14:paraId="66C1570B" w14:textId="77777777" w:rsidR="005A67A8" w:rsidRPr="005A67A8" w:rsidRDefault="005A67A8">
            <w:r w:rsidRPr="005A67A8">
              <w:t>Hyndburn 001A</w:t>
            </w:r>
          </w:p>
        </w:tc>
        <w:tc>
          <w:tcPr>
            <w:tcW w:w="1200" w:type="dxa"/>
            <w:noWrap/>
            <w:hideMark/>
          </w:tcPr>
          <w:p w14:paraId="2235246E" w14:textId="77777777" w:rsidR="005A67A8" w:rsidRPr="005A67A8" w:rsidRDefault="005A67A8">
            <w:r w:rsidRPr="005A67A8">
              <w:t>Netherton</w:t>
            </w:r>
          </w:p>
        </w:tc>
        <w:tc>
          <w:tcPr>
            <w:tcW w:w="960" w:type="dxa"/>
            <w:noWrap/>
            <w:hideMark/>
          </w:tcPr>
          <w:p w14:paraId="6BC344DC" w14:textId="77777777" w:rsidR="005A67A8" w:rsidRPr="005A67A8" w:rsidRDefault="005A67A8" w:rsidP="005A67A8">
            <w:r w:rsidRPr="005A67A8">
              <w:t>1</w:t>
            </w:r>
          </w:p>
        </w:tc>
        <w:tc>
          <w:tcPr>
            <w:tcW w:w="960" w:type="dxa"/>
            <w:noWrap/>
            <w:hideMark/>
          </w:tcPr>
          <w:p w14:paraId="3D358EE7" w14:textId="77777777" w:rsidR="005A67A8" w:rsidRPr="005A67A8" w:rsidRDefault="005A67A8" w:rsidP="005A67A8">
            <w:r w:rsidRPr="005A67A8">
              <w:t>2</w:t>
            </w:r>
          </w:p>
        </w:tc>
        <w:tc>
          <w:tcPr>
            <w:tcW w:w="960" w:type="dxa"/>
            <w:noWrap/>
            <w:hideMark/>
          </w:tcPr>
          <w:p w14:paraId="4AB80BCF" w14:textId="77777777" w:rsidR="005A67A8" w:rsidRPr="005A67A8" w:rsidRDefault="005A67A8" w:rsidP="005A67A8">
            <w:r w:rsidRPr="005A67A8">
              <w:t>2</w:t>
            </w:r>
          </w:p>
        </w:tc>
        <w:tc>
          <w:tcPr>
            <w:tcW w:w="960" w:type="dxa"/>
            <w:noWrap/>
            <w:hideMark/>
          </w:tcPr>
          <w:p w14:paraId="11A9E084" w14:textId="77777777" w:rsidR="005A67A8" w:rsidRPr="005A67A8" w:rsidRDefault="005A67A8" w:rsidP="005A67A8">
            <w:r w:rsidRPr="005A67A8">
              <w:t>2</w:t>
            </w:r>
          </w:p>
        </w:tc>
        <w:tc>
          <w:tcPr>
            <w:tcW w:w="960" w:type="dxa"/>
            <w:noWrap/>
            <w:hideMark/>
          </w:tcPr>
          <w:p w14:paraId="3D16D30A" w14:textId="77777777" w:rsidR="005A67A8" w:rsidRPr="005A67A8" w:rsidRDefault="005A67A8" w:rsidP="005A67A8">
            <w:r w:rsidRPr="005A67A8">
              <w:t>1</w:t>
            </w:r>
          </w:p>
        </w:tc>
        <w:tc>
          <w:tcPr>
            <w:tcW w:w="960" w:type="dxa"/>
            <w:noWrap/>
            <w:hideMark/>
          </w:tcPr>
          <w:p w14:paraId="2FAAEB1E" w14:textId="77777777" w:rsidR="005A67A8" w:rsidRPr="005A67A8" w:rsidRDefault="005A67A8" w:rsidP="005A67A8">
            <w:r w:rsidRPr="005A67A8">
              <w:t>3</w:t>
            </w:r>
          </w:p>
        </w:tc>
        <w:tc>
          <w:tcPr>
            <w:tcW w:w="960" w:type="dxa"/>
            <w:noWrap/>
            <w:hideMark/>
          </w:tcPr>
          <w:p w14:paraId="4B0AB87D" w14:textId="77777777" w:rsidR="005A67A8" w:rsidRPr="005A67A8" w:rsidRDefault="005A67A8" w:rsidP="005A67A8">
            <w:r w:rsidRPr="005A67A8">
              <w:t>6</w:t>
            </w:r>
          </w:p>
        </w:tc>
        <w:tc>
          <w:tcPr>
            <w:tcW w:w="960" w:type="dxa"/>
            <w:noWrap/>
            <w:hideMark/>
          </w:tcPr>
          <w:p w14:paraId="75545E09" w14:textId="77777777" w:rsidR="005A67A8" w:rsidRPr="005A67A8" w:rsidRDefault="005A67A8" w:rsidP="005A67A8">
            <w:r w:rsidRPr="005A67A8">
              <w:t>1</w:t>
            </w:r>
          </w:p>
        </w:tc>
        <w:tc>
          <w:tcPr>
            <w:tcW w:w="960" w:type="dxa"/>
            <w:noWrap/>
            <w:hideMark/>
          </w:tcPr>
          <w:p w14:paraId="40A87C2D" w14:textId="77777777" w:rsidR="005A67A8" w:rsidRPr="005A67A8" w:rsidRDefault="005A67A8" w:rsidP="005A67A8">
            <w:r w:rsidRPr="005A67A8">
              <w:t>1</w:t>
            </w:r>
          </w:p>
        </w:tc>
        <w:tc>
          <w:tcPr>
            <w:tcW w:w="960" w:type="dxa"/>
            <w:noWrap/>
            <w:hideMark/>
          </w:tcPr>
          <w:p w14:paraId="1AB09C66" w14:textId="77777777" w:rsidR="005A67A8" w:rsidRPr="005A67A8" w:rsidRDefault="005A67A8" w:rsidP="005A67A8">
            <w:r w:rsidRPr="005A67A8">
              <w:t>3</w:t>
            </w:r>
          </w:p>
        </w:tc>
      </w:tr>
      <w:tr w:rsidR="005A67A8" w:rsidRPr="005A67A8" w14:paraId="343A9B6B" w14:textId="77777777" w:rsidTr="005A67A8">
        <w:trPr>
          <w:trHeight w:val="210"/>
        </w:trPr>
        <w:tc>
          <w:tcPr>
            <w:tcW w:w="1780" w:type="dxa"/>
            <w:noWrap/>
            <w:hideMark/>
          </w:tcPr>
          <w:p w14:paraId="56F1E1EE" w14:textId="77777777" w:rsidR="005A67A8" w:rsidRPr="005A67A8" w:rsidRDefault="005A67A8">
            <w:r w:rsidRPr="005A67A8">
              <w:lastRenderedPageBreak/>
              <w:t>E01025061</w:t>
            </w:r>
          </w:p>
        </w:tc>
        <w:tc>
          <w:tcPr>
            <w:tcW w:w="1560" w:type="dxa"/>
            <w:noWrap/>
            <w:hideMark/>
          </w:tcPr>
          <w:p w14:paraId="18755B74" w14:textId="77777777" w:rsidR="005A67A8" w:rsidRPr="005A67A8" w:rsidRDefault="005A67A8">
            <w:r w:rsidRPr="005A67A8">
              <w:t>Hyndburn 001B</w:t>
            </w:r>
          </w:p>
        </w:tc>
        <w:tc>
          <w:tcPr>
            <w:tcW w:w="1200" w:type="dxa"/>
            <w:noWrap/>
            <w:hideMark/>
          </w:tcPr>
          <w:p w14:paraId="69422B82" w14:textId="77777777" w:rsidR="005A67A8" w:rsidRPr="005A67A8" w:rsidRDefault="005A67A8">
            <w:r w:rsidRPr="005A67A8">
              <w:t>Netherton</w:t>
            </w:r>
          </w:p>
        </w:tc>
        <w:tc>
          <w:tcPr>
            <w:tcW w:w="960" w:type="dxa"/>
            <w:noWrap/>
            <w:hideMark/>
          </w:tcPr>
          <w:p w14:paraId="2A8C072D" w14:textId="77777777" w:rsidR="005A67A8" w:rsidRPr="005A67A8" w:rsidRDefault="005A67A8" w:rsidP="005A67A8">
            <w:r w:rsidRPr="005A67A8">
              <w:t>5</w:t>
            </w:r>
          </w:p>
        </w:tc>
        <w:tc>
          <w:tcPr>
            <w:tcW w:w="960" w:type="dxa"/>
            <w:noWrap/>
            <w:hideMark/>
          </w:tcPr>
          <w:p w14:paraId="58FC00DE" w14:textId="77777777" w:rsidR="005A67A8" w:rsidRPr="005A67A8" w:rsidRDefault="005A67A8" w:rsidP="005A67A8">
            <w:r w:rsidRPr="005A67A8">
              <w:t>5</w:t>
            </w:r>
          </w:p>
        </w:tc>
        <w:tc>
          <w:tcPr>
            <w:tcW w:w="960" w:type="dxa"/>
            <w:noWrap/>
            <w:hideMark/>
          </w:tcPr>
          <w:p w14:paraId="56BA3557" w14:textId="77777777" w:rsidR="005A67A8" w:rsidRPr="005A67A8" w:rsidRDefault="005A67A8" w:rsidP="005A67A8">
            <w:r w:rsidRPr="005A67A8">
              <w:t>5</w:t>
            </w:r>
          </w:p>
        </w:tc>
        <w:tc>
          <w:tcPr>
            <w:tcW w:w="960" w:type="dxa"/>
            <w:noWrap/>
            <w:hideMark/>
          </w:tcPr>
          <w:p w14:paraId="409D2BA3" w14:textId="77777777" w:rsidR="005A67A8" w:rsidRPr="005A67A8" w:rsidRDefault="005A67A8" w:rsidP="005A67A8">
            <w:r w:rsidRPr="005A67A8">
              <w:t>5</w:t>
            </w:r>
          </w:p>
        </w:tc>
        <w:tc>
          <w:tcPr>
            <w:tcW w:w="960" w:type="dxa"/>
            <w:noWrap/>
            <w:hideMark/>
          </w:tcPr>
          <w:p w14:paraId="689FEEAB" w14:textId="77777777" w:rsidR="005A67A8" w:rsidRPr="005A67A8" w:rsidRDefault="005A67A8" w:rsidP="005A67A8">
            <w:r w:rsidRPr="005A67A8">
              <w:t>4</w:t>
            </w:r>
          </w:p>
        </w:tc>
        <w:tc>
          <w:tcPr>
            <w:tcW w:w="960" w:type="dxa"/>
            <w:noWrap/>
            <w:hideMark/>
          </w:tcPr>
          <w:p w14:paraId="5A9409E2" w14:textId="77777777" w:rsidR="005A67A8" w:rsidRPr="005A67A8" w:rsidRDefault="005A67A8" w:rsidP="005A67A8">
            <w:r w:rsidRPr="005A67A8">
              <w:t>6</w:t>
            </w:r>
          </w:p>
        </w:tc>
        <w:tc>
          <w:tcPr>
            <w:tcW w:w="960" w:type="dxa"/>
            <w:noWrap/>
            <w:hideMark/>
          </w:tcPr>
          <w:p w14:paraId="7C4C154A" w14:textId="77777777" w:rsidR="005A67A8" w:rsidRPr="005A67A8" w:rsidRDefault="005A67A8" w:rsidP="005A67A8">
            <w:r w:rsidRPr="005A67A8">
              <w:t>5</w:t>
            </w:r>
          </w:p>
        </w:tc>
        <w:tc>
          <w:tcPr>
            <w:tcW w:w="960" w:type="dxa"/>
            <w:noWrap/>
            <w:hideMark/>
          </w:tcPr>
          <w:p w14:paraId="0DD9B132" w14:textId="77777777" w:rsidR="005A67A8" w:rsidRPr="005A67A8" w:rsidRDefault="005A67A8" w:rsidP="005A67A8">
            <w:r w:rsidRPr="005A67A8">
              <w:t>3</w:t>
            </w:r>
          </w:p>
        </w:tc>
        <w:tc>
          <w:tcPr>
            <w:tcW w:w="960" w:type="dxa"/>
            <w:noWrap/>
            <w:hideMark/>
          </w:tcPr>
          <w:p w14:paraId="736F81A2" w14:textId="77777777" w:rsidR="005A67A8" w:rsidRPr="005A67A8" w:rsidRDefault="005A67A8" w:rsidP="005A67A8">
            <w:r w:rsidRPr="005A67A8">
              <w:t>6</w:t>
            </w:r>
          </w:p>
        </w:tc>
        <w:tc>
          <w:tcPr>
            <w:tcW w:w="960" w:type="dxa"/>
            <w:noWrap/>
            <w:hideMark/>
          </w:tcPr>
          <w:p w14:paraId="17CD2614" w14:textId="77777777" w:rsidR="005A67A8" w:rsidRPr="005A67A8" w:rsidRDefault="005A67A8" w:rsidP="005A67A8">
            <w:r w:rsidRPr="005A67A8">
              <w:t>5</w:t>
            </w:r>
          </w:p>
        </w:tc>
      </w:tr>
      <w:tr w:rsidR="005A67A8" w:rsidRPr="005A67A8" w14:paraId="3C11633B" w14:textId="77777777" w:rsidTr="005A67A8">
        <w:trPr>
          <w:trHeight w:val="210"/>
        </w:trPr>
        <w:tc>
          <w:tcPr>
            <w:tcW w:w="1780" w:type="dxa"/>
            <w:noWrap/>
            <w:hideMark/>
          </w:tcPr>
          <w:p w14:paraId="47691CA8" w14:textId="77777777" w:rsidR="005A67A8" w:rsidRPr="005A67A8" w:rsidRDefault="005A67A8">
            <w:r w:rsidRPr="005A67A8">
              <w:t>E01025062</w:t>
            </w:r>
          </w:p>
        </w:tc>
        <w:tc>
          <w:tcPr>
            <w:tcW w:w="1560" w:type="dxa"/>
            <w:noWrap/>
            <w:hideMark/>
          </w:tcPr>
          <w:p w14:paraId="267D2922" w14:textId="77777777" w:rsidR="005A67A8" w:rsidRPr="005A67A8" w:rsidRDefault="005A67A8">
            <w:r w:rsidRPr="005A67A8">
              <w:t>Hyndburn 001C</w:t>
            </w:r>
          </w:p>
        </w:tc>
        <w:tc>
          <w:tcPr>
            <w:tcW w:w="1200" w:type="dxa"/>
            <w:noWrap/>
            <w:hideMark/>
          </w:tcPr>
          <w:p w14:paraId="2A9FB77F" w14:textId="77777777" w:rsidR="005A67A8" w:rsidRPr="005A67A8" w:rsidRDefault="005A67A8">
            <w:r w:rsidRPr="005A67A8">
              <w:t>Netherton</w:t>
            </w:r>
          </w:p>
        </w:tc>
        <w:tc>
          <w:tcPr>
            <w:tcW w:w="960" w:type="dxa"/>
            <w:noWrap/>
            <w:hideMark/>
          </w:tcPr>
          <w:p w14:paraId="4C4F5B2D" w14:textId="77777777" w:rsidR="005A67A8" w:rsidRPr="005A67A8" w:rsidRDefault="005A67A8" w:rsidP="005A67A8">
            <w:r w:rsidRPr="005A67A8">
              <w:t>1</w:t>
            </w:r>
          </w:p>
        </w:tc>
        <w:tc>
          <w:tcPr>
            <w:tcW w:w="960" w:type="dxa"/>
            <w:noWrap/>
            <w:hideMark/>
          </w:tcPr>
          <w:p w14:paraId="1B69B799" w14:textId="77777777" w:rsidR="005A67A8" w:rsidRPr="005A67A8" w:rsidRDefault="005A67A8" w:rsidP="005A67A8">
            <w:r w:rsidRPr="005A67A8">
              <w:t>2</w:t>
            </w:r>
          </w:p>
        </w:tc>
        <w:tc>
          <w:tcPr>
            <w:tcW w:w="960" w:type="dxa"/>
            <w:noWrap/>
            <w:hideMark/>
          </w:tcPr>
          <w:p w14:paraId="41B531CA" w14:textId="77777777" w:rsidR="005A67A8" w:rsidRPr="005A67A8" w:rsidRDefault="005A67A8" w:rsidP="005A67A8">
            <w:r w:rsidRPr="005A67A8">
              <w:t>1</w:t>
            </w:r>
          </w:p>
        </w:tc>
        <w:tc>
          <w:tcPr>
            <w:tcW w:w="960" w:type="dxa"/>
            <w:noWrap/>
            <w:hideMark/>
          </w:tcPr>
          <w:p w14:paraId="5F43D79D" w14:textId="77777777" w:rsidR="005A67A8" w:rsidRPr="005A67A8" w:rsidRDefault="005A67A8" w:rsidP="005A67A8">
            <w:r w:rsidRPr="005A67A8">
              <w:t>1</w:t>
            </w:r>
          </w:p>
        </w:tc>
        <w:tc>
          <w:tcPr>
            <w:tcW w:w="960" w:type="dxa"/>
            <w:noWrap/>
            <w:hideMark/>
          </w:tcPr>
          <w:p w14:paraId="48B39BF1" w14:textId="77777777" w:rsidR="005A67A8" w:rsidRPr="005A67A8" w:rsidRDefault="005A67A8" w:rsidP="005A67A8">
            <w:r w:rsidRPr="005A67A8">
              <w:t>1</w:t>
            </w:r>
          </w:p>
        </w:tc>
        <w:tc>
          <w:tcPr>
            <w:tcW w:w="960" w:type="dxa"/>
            <w:noWrap/>
            <w:hideMark/>
          </w:tcPr>
          <w:p w14:paraId="2D725AB2" w14:textId="77777777" w:rsidR="005A67A8" w:rsidRPr="005A67A8" w:rsidRDefault="005A67A8" w:rsidP="005A67A8">
            <w:r w:rsidRPr="005A67A8">
              <w:t>1</w:t>
            </w:r>
          </w:p>
        </w:tc>
        <w:tc>
          <w:tcPr>
            <w:tcW w:w="960" w:type="dxa"/>
            <w:noWrap/>
            <w:hideMark/>
          </w:tcPr>
          <w:p w14:paraId="170E38F5" w14:textId="77777777" w:rsidR="005A67A8" w:rsidRPr="005A67A8" w:rsidRDefault="005A67A8" w:rsidP="005A67A8">
            <w:r w:rsidRPr="005A67A8">
              <w:t>6</w:t>
            </w:r>
          </w:p>
        </w:tc>
        <w:tc>
          <w:tcPr>
            <w:tcW w:w="960" w:type="dxa"/>
            <w:noWrap/>
            <w:hideMark/>
          </w:tcPr>
          <w:p w14:paraId="17ABBDC3" w14:textId="77777777" w:rsidR="005A67A8" w:rsidRPr="005A67A8" w:rsidRDefault="005A67A8" w:rsidP="005A67A8">
            <w:r w:rsidRPr="005A67A8">
              <w:t>1</w:t>
            </w:r>
          </w:p>
        </w:tc>
        <w:tc>
          <w:tcPr>
            <w:tcW w:w="960" w:type="dxa"/>
            <w:noWrap/>
            <w:hideMark/>
          </w:tcPr>
          <w:p w14:paraId="329BA281" w14:textId="77777777" w:rsidR="005A67A8" w:rsidRPr="005A67A8" w:rsidRDefault="005A67A8" w:rsidP="005A67A8">
            <w:r w:rsidRPr="005A67A8">
              <w:t>2</w:t>
            </w:r>
          </w:p>
        </w:tc>
        <w:tc>
          <w:tcPr>
            <w:tcW w:w="960" w:type="dxa"/>
            <w:noWrap/>
            <w:hideMark/>
          </w:tcPr>
          <w:p w14:paraId="17B5FF57" w14:textId="77777777" w:rsidR="005A67A8" w:rsidRPr="005A67A8" w:rsidRDefault="005A67A8" w:rsidP="005A67A8">
            <w:r w:rsidRPr="005A67A8">
              <w:t>2</w:t>
            </w:r>
          </w:p>
        </w:tc>
      </w:tr>
      <w:tr w:rsidR="005A67A8" w:rsidRPr="005A67A8" w14:paraId="6C5A5748" w14:textId="77777777" w:rsidTr="005A67A8">
        <w:trPr>
          <w:trHeight w:val="210"/>
        </w:trPr>
        <w:tc>
          <w:tcPr>
            <w:tcW w:w="1780" w:type="dxa"/>
            <w:noWrap/>
            <w:hideMark/>
          </w:tcPr>
          <w:p w14:paraId="021891E0" w14:textId="77777777" w:rsidR="005A67A8" w:rsidRPr="005A67A8" w:rsidRDefault="005A67A8">
            <w:r w:rsidRPr="005A67A8">
              <w:t>E01025063</w:t>
            </w:r>
          </w:p>
        </w:tc>
        <w:tc>
          <w:tcPr>
            <w:tcW w:w="1560" w:type="dxa"/>
            <w:noWrap/>
            <w:hideMark/>
          </w:tcPr>
          <w:p w14:paraId="03A0DDC6" w14:textId="77777777" w:rsidR="005A67A8" w:rsidRPr="005A67A8" w:rsidRDefault="005A67A8">
            <w:r w:rsidRPr="005A67A8">
              <w:t>Hyndburn 001D</w:t>
            </w:r>
          </w:p>
        </w:tc>
        <w:tc>
          <w:tcPr>
            <w:tcW w:w="1200" w:type="dxa"/>
            <w:noWrap/>
            <w:hideMark/>
          </w:tcPr>
          <w:p w14:paraId="4D68AC87" w14:textId="77777777" w:rsidR="005A67A8" w:rsidRPr="005A67A8" w:rsidRDefault="005A67A8">
            <w:r w:rsidRPr="005A67A8">
              <w:t>Overton</w:t>
            </w:r>
          </w:p>
        </w:tc>
        <w:tc>
          <w:tcPr>
            <w:tcW w:w="960" w:type="dxa"/>
            <w:noWrap/>
            <w:hideMark/>
          </w:tcPr>
          <w:p w14:paraId="43AF9F55" w14:textId="77777777" w:rsidR="005A67A8" w:rsidRPr="005A67A8" w:rsidRDefault="005A67A8" w:rsidP="005A67A8">
            <w:r w:rsidRPr="005A67A8">
              <w:t>3</w:t>
            </w:r>
          </w:p>
        </w:tc>
        <w:tc>
          <w:tcPr>
            <w:tcW w:w="960" w:type="dxa"/>
            <w:noWrap/>
            <w:hideMark/>
          </w:tcPr>
          <w:p w14:paraId="43806ACD" w14:textId="77777777" w:rsidR="005A67A8" w:rsidRPr="005A67A8" w:rsidRDefault="005A67A8" w:rsidP="005A67A8">
            <w:r w:rsidRPr="005A67A8">
              <w:t>4</w:t>
            </w:r>
          </w:p>
        </w:tc>
        <w:tc>
          <w:tcPr>
            <w:tcW w:w="960" w:type="dxa"/>
            <w:noWrap/>
            <w:hideMark/>
          </w:tcPr>
          <w:p w14:paraId="308E1C08" w14:textId="77777777" w:rsidR="005A67A8" w:rsidRPr="005A67A8" w:rsidRDefault="005A67A8" w:rsidP="005A67A8">
            <w:r w:rsidRPr="005A67A8">
              <w:t>3</w:t>
            </w:r>
          </w:p>
        </w:tc>
        <w:tc>
          <w:tcPr>
            <w:tcW w:w="960" w:type="dxa"/>
            <w:noWrap/>
            <w:hideMark/>
          </w:tcPr>
          <w:p w14:paraId="56D6256A" w14:textId="77777777" w:rsidR="005A67A8" w:rsidRPr="005A67A8" w:rsidRDefault="005A67A8" w:rsidP="005A67A8">
            <w:r w:rsidRPr="005A67A8">
              <w:t>2</w:t>
            </w:r>
          </w:p>
        </w:tc>
        <w:tc>
          <w:tcPr>
            <w:tcW w:w="960" w:type="dxa"/>
            <w:noWrap/>
            <w:hideMark/>
          </w:tcPr>
          <w:p w14:paraId="70662A6C" w14:textId="77777777" w:rsidR="005A67A8" w:rsidRPr="005A67A8" w:rsidRDefault="005A67A8" w:rsidP="005A67A8">
            <w:r w:rsidRPr="005A67A8">
              <w:t>2</w:t>
            </w:r>
          </w:p>
        </w:tc>
        <w:tc>
          <w:tcPr>
            <w:tcW w:w="960" w:type="dxa"/>
            <w:noWrap/>
            <w:hideMark/>
          </w:tcPr>
          <w:p w14:paraId="1A76660D" w14:textId="77777777" w:rsidR="005A67A8" w:rsidRPr="005A67A8" w:rsidRDefault="005A67A8" w:rsidP="005A67A8">
            <w:r w:rsidRPr="005A67A8">
              <w:t>4</w:t>
            </w:r>
          </w:p>
        </w:tc>
        <w:tc>
          <w:tcPr>
            <w:tcW w:w="960" w:type="dxa"/>
            <w:noWrap/>
            <w:hideMark/>
          </w:tcPr>
          <w:p w14:paraId="4B35BB17" w14:textId="77777777" w:rsidR="005A67A8" w:rsidRPr="005A67A8" w:rsidRDefault="005A67A8" w:rsidP="005A67A8">
            <w:r w:rsidRPr="005A67A8">
              <w:t>9</w:t>
            </w:r>
          </w:p>
        </w:tc>
        <w:tc>
          <w:tcPr>
            <w:tcW w:w="960" w:type="dxa"/>
            <w:noWrap/>
            <w:hideMark/>
          </w:tcPr>
          <w:p w14:paraId="67574E4D" w14:textId="77777777" w:rsidR="005A67A8" w:rsidRPr="005A67A8" w:rsidRDefault="005A67A8" w:rsidP="005A67A8">
            <w:r w:rsidRPr="005A67A8">
              <w:t>6</w:t>
            </w:r>
          </w:p>
        </w:tc>
        <w:tc>
          <w:tcPr>
            <w:tcW w:w="960" w:type="dxa"/>
            <w:noWrap/>
            <w:hideMark/>
          </w:tcPr>
          <w:p w14:paraId="1B63BDDC" w14:textId="77777777" w:rsidR="005A67A8" w:rsidRPr="005A67A8" w:rsidRDefault="005A67A8" w:rsidP="005A67A8">
            <w:r w:rsidRPr="005A67A8">
              <w:t>5</w:t>
            </w:r>
          </w:p>
        </w:tc>
        <w:tc>
          <w:tcPr>
            <w:tcW w:w="960" w:type="dxa"/>
            <w:noWrap/>
            <w:hideMark/>
          </w:tcPr>
          <w:p w14:paraId="5C776B40" w14:textId="77777777" w:rsidR="005A67A8" w:rsidRPr="005A67A8" w:rsidRDefault="005A67A8" w:rsidP="005A67A8">
            <w:r w:rsidRPr="005A67A8">
              <w:t>4</w:t>
            </w:r>
          </w:p>
        </w:tc>
      </w:tr>
      <w:tr w:rsidR="005A67A8" w:rsidRPr="005A67A8" w14:paraId="4225BC44" w14:textId="77777777" w:rsidTr="005A67A8">
        <w:trPr>
          <w:trHeight w:val="210"/>
        </w:trPr>
        <w:tc>
          <w:tcPr>
            <w:tcW w:w="1780" w:type="dxa"/>
            <w:noWrap/>
            <w:hideMark/>
          </w:tcPr>
          <w:p w14:paraId="60D3479C" w14:textId="77777777" w:rsidR="005A67A8" w:rsidRPr="005A67A8" w:rsidRDefault="005A67A8">
            <w:r w:rsidRPr="005A67A8">
              <w:t>E01025064</w:t>
            </w:r>
          </w:p>
        </w:tc>
        <w:tc>
          <w:tcPr>
            <w:tcW w:w="1560" w:type="dxa"/>
            <w:noWrap/>
            <w:hideMark/>
          </w:tcPr>
          <w:p w14:paraId="246F1F97" w14:textId="77777777" w:rsidR="005A67A8" w:rsidRPr="005A67A8" w:rsidRDefault="005A67A8">
            <w:r w:rsidRPr="005A67A8">
              <w:t>Hyndburn 001E</w:t>
            </w:r>
          </w:p>
        </w:tc>
        <w:tc>
          <w:tcPr>
            <w:tcW w:w="1200" w:type="dxa"/>
            <w:noWrap/>
            <w:hideMark/>
          </w:tcPr>
          <w:p w14:paraId="561B9741" w14:textId="77777777" w:rsidR="005A67A8" w:rsidRPr="005A67A8" w:rsidRDefault="005A67A8">
            <w:r w:rsidRPr="005A67A8">
              <w:t>Overton</w:t>
            </w:r>
          </w:p>
        </w:tc>
        <w:tc>
          <w:tcPr>
            <w:tcW w:w="960" w:type="dxa"/>
            <w:noWrap/>
            <w:hideMark/>
          </w:tcPr>
          <w:p w14:paraId="7B8689AD" w14:textId="77777777" w:rsidR="005A67A8" w:rsidRPr="005A67A8" w:rsidRDefault="005A67A8" w:rsidP="005A67A8">
            <w:r w:rsidRPr="005A67A8">
              <w:t>8</w:t>
            </w:r>
          </w:p>
        </w:tc>
        <w:tc>
          <w:tcPr>
            <w:tcW w:w="960" w:type="dxa"/>
            <w:noWrap/>
            <w:hideMark/>
          </w:tcPr>
          <w:p w14:paraId="735CB5B8" w14:textId="77777777" w:rsidR="005A67A8" w:rsidRPr="005A67A8" w:rsidRDefault="005A67A8" w:rsidP="005A67A8">
            <w:r w:rsidRPr="005A67A8">
              <w:t>10</w:t>
            </w:r>
          </w:p>
        </w:tc>
        <w:tc>
          <w:tcPr>
            <w:tcW w:w="960" w:type="dxa"/>
            <w:noWrap/>
            <w:hideMark/>
          </w:tcPr>
          <w:p w14:paraId="46B4480F" w14:textId="77777777" w:rsidR="005A67A8" w:rsidRPr="005A67A8" w:rsidRDefault="005A67A8" w:rsidP="005A67A8">
            <w:r w:rsidRPr="005A67A8">
              <w:t>8</w:t>
            </w:r>
          </w:p>
        </w:tc>
        <w:tc>
          <w:tcPr>
            <w:tcW w:w="960" w:type="dxa"/>
            <w:noWrap/>
            <w:hideMark/>
          </w:tcPr>
          <w:p w14:paraId="0D3D36CD" w14:textId="77777777" w:rsidR="005A67A8" w:rsidRPr="005A67A8" w:rsidRDefault="005A67A8" w:rsidP="005A67A8">
            <w:r w:rsidRPr="005A67A8">
              <w:t>9</w:t>
            </w:r>
          </w:p>
        </w:tc>
        <w:tc>
          <w:tcPr>
            <w:tcW w:w="960" w:type="dxa"/>
            <w:noWrap/>
            <w:hideMark/>
          </w:tcPr>
          <w:p w14:paraId="006C17AA" w14:textId="77777777" w:rsidR="005A67A8" w:rsidRPr="005A67A8" w:rsidRDefault="005A67A8" w:rsidP="005A67A8">
            <w:r w:rsidRPr="005A67A8">
              <w:t>5</w:t>
            </w:r>
          </w:p>
        </w:tc>
        <w:tc>
          <w:tcPr>
            <w:tcW w:w="960" w:type="dxa"/>
            <w:noWrap/>
            <w:hideMark/>
          </w:tcPr>
          <w:p w14:paraId="4DD48948" w14:textId="77777777" w:rsidR="005A67A8" w:rsidRPr="005A67A8" w:rsidRDefault="005A67A8" w:rsidP="005A67A8">
            <w:r w:rsidRPr="005A67A8">
              <w:t>6</w:t>
            </w:r>
          </w:p>
        </w:tc>
        <w:tc>
          <w:tcPr>
            <w:tcW w:w="960" w:type="dxa"/>
            <w:noWrap/>
            <w:hideMark/>
          </w:tcPr>
          <w:p w14:paraId="6DA375A8" w14:textId="77777777" w:rsidR="005A67A8" w:rsidRPr="005A67A8" w:rsidRDefault="005A67A8" w:rsidP="005A67A8">
            <w:r w:rsidRPr="005A67A8">
              <w:t>7</w:t>
            </w:r>
          </w:p>
        </w:tc>
        <w:tc>
          <w:tcPr>
            <w:tcW w:w="960" w:type="dxa"/>
            <w:noWrap/>
            <w:hideMark/>
          </w:tcPr>
          <w:p w14:paraId="32E5A5EB" w14:textId="77777777" w:rsidR="005A67A8" w:rsidRPr="005A67A8" w:rsidRDefault="005A67A8" w:rsidP="005A67A8">
            <w:r w:rsidRPr="005A67A8">
              <w:t>5</w:t>
            </w:r>
          </w:p>
        </w:tc>
        <w:tc>
          <w:tcPr>
            <w:tcW w:w="960" w:type="dxa"/>
            <w:noWrap/>
            <w:hideMark/>
          </w:tcPr>
          <w:p w14:paraId="2F1AF3D3" w14:textId="77777777" w:rsidR="005A67A8" w:rsidRPr="005A67A8" w:rsidRDefault="005A67A8" w:rsidP="005A67A8">
            <w:r w:rsidRPr="005A67A8">
              <w:t>9</w:t>
            </w:r>
          </w:p>
        </w:tc>
        <w:tc>
          <w:tcPr>
            <w:tcW w:w="960" w:type="dxa"/>
            <w:noWrap/>
            <w:hideMark/>
          </w:tcPr>
          <w:p w14:paraId="3808BC1F" w14:textId="77777777" w:rsidR="005A67A8" w:rsidRPr="005A67A8" w:rsidRDefault="005A67A8" w:rsidP="005A67A8">
            <w:r w:rsidRPr="005A67A8">
              <w:t>10</w:t>
            </w:r>
          </w:p>
        </w:tc>
      </w:tr>
      <w:tr w:rsidR="005A67A8" w:rsidRPr="005A67A8" w14:paraId="4083D94B" w14:textId="77777777" w:rsidTr="005A67A8">
        <w:trPr>
          <w:trHeight w:val="210"/>
        </w:trPr>
        <w:tc>
          <w:tcPr>
            <w:tcW w:w="1780" w:type="dxa"/>
            <w:noWrap/>
            <w:hideMark/>
          </w:tcPr>
          <w:p w14:paraId="3CB44FB9" w14:textId="77777777" w:rsidR="005A67A8" w:rsidRPr="005A67A8" w:rsidRDefault="005A67A8">
            <w:r w:rsidRPr="005A67A8">
              <w:t>E01025065</w:t>
            </w:r>
          </w:p>
        </w:tc>
        <w:tc>
          <w:tcPr>
            <w:tcW w:w="1560" w:type="dxa"/>
            <w:noWrap/>
            <w:hideMark/>
          </w:tcPr>
          <w:p w14:paraId="6C634FEF" w14:textId="77777777" w:rsidR="005A67A8" w:rsidRPr="005A67A8" w:rsidRDefault="005A67A8">
            <w:r w:rsidRPr="005A67A8">
              <w:t>Hyndburn 001F</w:t>
            </w:r>
          </w:p>
        </w:tc>
        <w:tc>
          <w:tcPr>
            <w:tcW w:w="1200" w:type="dxa"/>
            <w:noWrap/>
            <w:hideMark/>
          </w:tcPr>
          <w:p w14:paraId="38FE7AF6" w14:textId="77777777" w:rsidR="005A67A8" w:rsidRPr="005A67A8" w:rsidRDefault="005A67A8">
            <w:r w:rsidRPr="005A67A8">
              <w:t>Overton</w:t>
            </w:r>
          </w:p>
        </w:tc>
        <w:tc>
          <w:tcPr>
            <w:tcW w:w="960" w:type="dxa"/>
            <w:noWrap/>
            <w:hideMark/>
          </w:tcPr>
          <w:p w14:paraId="15C00204" w14:textId="77777777" w:rsidR="005A67A8" w:rsidRPr="005A67A8" w:rsidRDefault="005A67A8" w:rsidP="005A67A8">
            <w:r w:rsidRPr="005A67A8">
              <w:t>3</w:t>
            </w:r>
          </w:p>
        </w:tc>
        <w:tc>
          <w:tcPr>
            <w:tcW w:w="960" w:type="dxa"/>
            <w:noWrap/>
            <w:hideMark/>
          </w:tcPr>
          <w:p w14:paraId="021A1458" w14:textId="77777777" w:rsidR="005A67A8" w:rsidRPr="005A67A8" w:rsidRDefault="005A67A8" w:rsidP="005A67A8">
            <w:r w:rsidRPr="005A67A8">
              <w:t>4</w:t>
            </w:r>
          </w:p>
        </w:tc>
        <w:tc>
          <w:tcPr>
            <w:tcW w:w="960" w:type="dxa"/>
            <w:noWrap/>
            <w:hideMark/>
          </w:tcPr>
          <w:p w14:paraId="3D8B32FC" w14:textId="77777777" w:rsidR="005A67A8" w:rsidRPr="005A67A8" w:rsidRDefault="005A67A8" w:rsidP="005A67A8">
            <w:r w:rsidRPr="005A67A8">
              <w:t>4</w:t>
            </w:r>
          </w:p>
        </w:tc>
        <w:tc>
          <w:tcPr>
            <w:tcW w:w="960" w:type="dxa"/>
            <w:noWrap/>
            <w:hideMark/>
          </w:tcPr>
          <w:p w14:paraId="202FBE2D" w14:textId="77777777" w:rsidR="005A67A8" w:rsidRPr="005A67A8" w:rsidRDefault="005A67A8" w:rsidP="005A67A8">
            <w:r w:rsidRPr="005A67A8">
              <w:t>3</w:t>
            </w:r>
          </w:p>
        </w:tc>
        <w:tc>
          <w:tcPr>
            <w:tcW w:w="960" w:type="dxa"/>
            <w:noWrap/>
            <w:hideMark/>
          </w:tcPr>
          <w:p w14:paraId="629F798C" w14:textId="77777777" w:rsidR="005A67A8" w:rsidRPr="005A67A8" w:rsidRDefault="005A67A8" w:rsidP="005A67A8">
            <w:r w:rsidRPr="005A67A8">
              <w:t>3</w:t>
            </w:r>
          </w:p>
        </w:tc>
        <w:tc>
          <w:tcPr>
            <w:tcW w:w="960" w:type="dxa"/>
            <w:noWrap/>
            <w:hideMark/>
          </w:tcPr>
          <w:p w14:paraId="1B06C85A" w14:textId="77777777" w:rsidR="005A67A8" w:rsidRPr="005A67A8" w:rsidRDefault="005A67A8" w:rsidP="005A67A8">
            <w:r w:rsidRPr="005A67A8">
              <w:t>3</w:t>
            </w:r>
          </w:p>
        </w:tc>
        <w:tc>
          <w:tcPr>
            <w:tcW w:w="960" w:type="dxa"/>
            <w:noWrap/>
            <w:hideMark/>
          </w:tcPr>
          <w:p w14:paraId="6E40EC06" w14:textId="77777777" w:rsidR="005A67A8" w:rsidRPr="005A67A8" w:rsidRDefault="005A67A8" w:rsidP="005A67A8">
            <w:r w:rsidRPr="005A67A8">
              <w:t>7</w:t>
            </w:r>
          </w:p>
        </w:tc>
        <w:tc>
          <w:tcPr>
            <w:tcW w:w="960" w:type="dxa"/>
            <w:noWrap/>
            <w:hideMark/>
          </w:tcPr>
          <w:p w14:paraId="4BAB9F62" w14:textId="77777777" w:rsidR="005A67A8" w:rsidRPr="005A67A8" w:rsidRDefault="005A67A8" w:rsidP="005A67A8">
            <w:r w:rsidRPr="005A67A8">
              <w:t>1</w:t>
            </w:r>
          </w:p>
        </w:tc>
        <w:tc>
          <w:tcPr>
            <w:tcW w:w="960" w:type="dxa"/>
            <w:noWrap/>
            <w:hideMark/>
          </w:tcPr>
          <w:p w14:paraId="120E6086" w14:textId="77777777" w:rsidR="005A67A8" w:rsidRPr="005A67A8" w:rsidRDefault="005A67A8" w:rsidP="005A67A8">
            <w:r w:rsidRPr="005A67A8">
              <w:t>4</w:t>
            </w:r>
          </w:p>
        </w:tc>
        <w:tc>
          <w:tcPr>
            <w:tcW w:w="960" w:type="dxa"/>
            <w:noWrap/>
            <w:hideMark/>
          </w:tcPr>
          <w:p w14:paraId="4C99BA10" w14:textId="77777777" w:rsidR="005A67A8" w:rsidRPr="005A67A8" w:rsidRDefault="005A67A8" w:rsidP="005A67A8">
            <w:r w:rsidRPr="005A67A8">
              <w:t>4</w:t>
            </w:r>
          </w:p>
        </w:tc>
      </w:tr>
      <w:tr w:rsidR="005A67A8" w:rsidRPr="005A67A8" w14:paraId="7942DAF7" w14:textId="77777777" w:rsidTr="005A67A8">
        <w:trPr>
          <w:trHeight w:val="210"/>
        </w:trPr>
        <w:tc>
          <w:tcPr>
            <w:tcW w:w="1780" w:type="dxa"/>
            <w:noWrap/>
            <w:hideMark/>
          </w:tcPr>
          <w:p w14:paraId="1D33F827" w14:textId="77777777" w:rsidR="005A67A8" w:rsidRPr="005A67A8" w:rsidRDefault="005A67A8">
            <w:r w:rsidRPr="005A67A8">
              <w:t>E01025066</w:t>
            </w:r>
          </w:p>
        </w:tc>
        <w:tc>
          <w:tcPr>
            <w:tcW w:w="1560" w:type="dxa"/>
            <w:noWrap/>
            <w:hideMark/>
          </w:tcPr>
          <w:p w14:paraId="6DC3A4D7" w14:textId="77777777" w:rsidR="005A67A8" w:rsidRPr="005A67A8" w:rsidRDefault="005A67A8">
            <w:r w:rsidRPr="005A67A8">
              <w:t>Hyndburn 001G</w:t>
            </w:r>
          </w:p>
        </w:tc>
        <w:tc>
          <w:tcPr>
            <w:tcW w:w="1200" w:type="dxa"/>
            <w:noWrap/>
            <w:hideMark/>
          </w:tcPr>
          <w:p w14:paraId="0597C08C" w14:textId="77777777" w:rsidR="005A67A8" w:rsidRPr="005A67A8" w:rsidRDefault="005A67A8">
            <w:r w:rsidRPr="005A67A8">
              <w:t>Overton</w:t>
            </w:r>
          </w:p>
        </w:tc>
        <w:tc>
          <w:tcPr>
            <w:tcW w:w="960" w:type="dxa"/>
            <w:noWrap/>
            <w:hideMark/>
          </w:tcPr>
          <w:p w14:paraId="29C278D4" w14:textId="77777777" w:rsidR="005A67A8" w:rsidRPr="005A67A8" w:rsidRDefault="005A67A8" w:rsidP="005A67A8">
            <w:r w:rsidRPr="005A67A8">
              <w:t>5</w:t>
            </w:r>
          </w:p>
        </w:tc>
        <w:tc>
          <w:tcPr>
            <w:tcW w:w="960" w:type="dxa"/>
            <w:noWrap/>
            <w:hideMark/>
          </w:tcPr>
          <w:p w14:paraId="24A218CF" w14:textId="77777777" w:rsidR="005A67A8" w:rsidRPr="005A67A8" w:rsidRDefault="005A67A8" w:rsidP="005A67A8">
            <w:r w:rsidRPr="005A67A8">
              <w:t>6</w:t>
            </w:r>
          </w:p>
        </w:tc>
        <w:tc>
          <w:tcPr>
            <w:tcW w:w="960" w:type="dxa"/>
            <w:noWrap/>
            <w:hideMark/>
          </w:tcPr>
          <w:p w14:paraId="799E9516" w14:textId="77777777" w:rsidR="005A67A8" w:rsidRPr="005A67A8" w:rsidRDefault="005A67A8" w:rsidP="005A67A8">
            <w:r w:rsidRPr="005A67A8">
              <w:t>5</w:t>
            </w:r>
          </w:p>
        </w:tc>
        <w:tc>
          <w:tcPr>
            <w:tcW w:w="960" w:type="dxa"/>
            <w:noWrap/>
            <w:hideMark/>
          </w:tcPr>
          <w:p w14:paraId="53CA6FAB" w14:textId="77777777" w:rsidR="005A67A8" w:rsidRPr="005A67A8" w:rsidRDefault="005A67A8" w:rsidP="005A67A8">
            <w:r w:rsidRPr="005A67A8">
              <w:t>7</w:t>
            </w:r>
          </w:p>
        </w:tc>
        <w:tc>
          <w:tcPr>
            <w:tcW w:w="960" w:type="dxa"/>
            <w:noWrap/>
            <w:hideMark/>
          </w:tcPr>
          <w:p w14:paraId="182AC492" w14:textId="77777777" w:rsidR="005A67A8" w:rsidRPr="005A67A8" w:rsidRDefault="005A67A8" w:rsidP="005A67A8">
            <w:r w:rsidRPr="005A67A8">
              <w:t>3</w:t>
            </w:r>
          </w:p>
        </w:tc>
        <w:tc>
          <w:tcPr>
            <w:tcW w:w="960" w:type="dxa"/>
            <w:noWrap/>
            <w:hideMark/>
          </w:tcPr>
          <w:p w14:paraId="3BC3D986" w14:textId="77777777" w:rsidR="005A67A8" w:rsidRPr="005A67A8" w:rsidRDefault="005A67A8" w:rsidP="005A67A8">
            <w:r w:rsidRPr="005A67A8">
              <w:t>4</w:t>
            </w:r>
          </w:p>
        </w:tc>
        <w:tc>
          <w:tcPr>
            <w:tcW w:w="960" w:type="dxa"/>
            <w:noWrap/>
            <w:hideMark/>
          </w:tcPr>
          <w:p w14:paraId="637CC444" w14:textId="77777777" w:rsidR="005A67A8" w:rsidRPr="005A67A8" w:rsidRDefault="005A67A8" w:rsidP="005A67A8">
            <w:r w:rsidRPr="005A67A8">
              <w:t>7</w:t>
            </w:r>
          </w:p>
        </w:tc>
        <w:tc>
          <w:tcPr>
            <w:tcW w:w="960" w:type="dxa"/>
            <w:noWrap/>
            <w:hideMark/>
          </w:tcPr>
          <w:p w14:paraId="448255B2" w14:textId="77777777" w:rsidR="005A67A8" w:rsidRPr="005A67A8" w:rsidRDefault="005A67A8" w:rsidP="005A67A8">
            <w:r w:rsidRPr="005A67A8">
              <w:t>2</w:t>
            </w:r>
          </w:p>
        </w:tc>
        <w:tc>
          <w:tcPr>
            <w:tcW w:w="960" w:type="dxa"/>
            <w:noWrap/>
            <w:hideMark/>
          </w:tcPr>
          <w:p w14:paraId="571E6435" w14:textId="77777777" w:rsidR="005A67A8" w:rsidRPr="005A67A8" w:rsidRDefault="005A67A8" w:rsidP="005A67A8">
            <w:r w:rsidRPr="005A67A8">
              <w:t>6</w:t>
            </w:r>
          </w:p>
        </w:tc>
        <w:tc>
          <w:tcPr>
            <w:tcW w:w="960" w:type="dxa"/>
            <w:noWrap/>
            <w:hideMark/>
          </w:tcPr>
          <w:p w14:paraId="43F7173A" w14:textId="77777777" w:rsidR="005A67A8" w:rsidRPr="005A67A8" w:rsidRDefault="005A67A8" w:rsidP="005A67A8">
            <w:r w:rsidRPr="005A67A8">
              <w:t>9</w:t>
            </w:r>
          </w:p>
        </w:tc>
      </w:tr>
      <w:tr w:rsidR="005A67A8" w:rsidRPr="005A67A8" w14:paraId="59D7796E" w14:textId="77777777" w:rsidTr="005A67A8">
        <w:trPr>
          <w:trHeight w:val="210"/>
        </w:trPr>
        <w:tc>
          <w:tcPr>
            <w:tcW w:w="1780" w:type="dxa"/>
            <w:noWrap/>
            <w:hideMark/>
          </w:tcPr>
          <w:p w14:paraId="14D74033" w14:textId="77777777" w:rsidR="005A67A8" w:rsidRPr="005A67A8" w:rsidRDefault="005A67A8">
            <w:r w:rsidRPr="005A67A8">
              <w:t>E01025067</w:t>
            </w:r>
          </w:p>
        </w:tc>
        <w:tc>
          <w:tcPr>
            <w:tcW w:w="1560" w:type="dxa"/>
            <w:noWrap/>
            <w:hideMark/>
          </w:tcPr>
          <w:p w14:paraId="20C6B1C8" w14:textId="77777777" w:rsidR="005A67A8" w:rsidRPr="005A67A8" w:rsidRDefault="005A67A8">
            <w:r w:rsidRPr="005A67A8">
              <w:t>Hyndburn 004F</w:t>
            </w:r>
          </w:p>
        </w:tc>
        <w:tc>
          <w:tcPr>
            <w:tcW w:w="1200" w:type="dxa"/>
            <w:noWrap/>
            <w:hideMark/>
          </w:tcPr>
          <w:p w14:paraId="019F038D" w14:textId="77777777" w:rsidR="005A67A8" w:rsidRPr="005A67A8" w:rsidRDefault="005A67A8">
            <w:r w:rsidRPr="005A67A8">
              <w:t>Peel</w:t>
            </w:r>
          </w:p>
        </w:tc>
        <w:tc>
          <w:tcPr>
            <w:tcW w:w="960" w:type="dxa"/>
            <w:noWrap/>
            <w:hideMark/>
          </w:tcPr>
          <w:p w14:paraId="4C57ED0C" w14:textId="77777777" w:rsidR="005A67A8" w:rsidRPr="005A67A8" w:rsidRDefault="005A67A8" w:rsidP="005A67A8">
            <w:r w:rsidRPr="005A67A8">
              <w:t>1</w:t>
            </w:r>
          </w:p>
        </w:tc>
        <w:tc>
          <w:tcPr>
            <w:tcW w:w="960" w:type="dxa"/>
            <w:noWrap/>
            <w:hideMark/>
          </w:tcPr>
          <w:p w14:paraId="642DC15F" w14:textId="77777777" w:rsidR="005A67A8" w:rsidRPr="005A67A8" w:rsidRDefault="005A67A8" w:rsidP="005A67A8">
            <w:r w:rsidRPr="005A67A8">
              <w:t>1</w:t>
            </w:r>
          </w:p>
        </w:tc>
        <w:tc>
          <w:tcPr>
            <w:tcW w:w="960" w:type="dxa"/>
            <w:noWrap/>
            <w:hideMark/>
          </w:tcPr>
          <w:p w14:paraId="4A6040EA" w14:textId="77777777" w:rsidR="005A67A8" w:rsidRPr="005A67A8" w:rsidRDefault="005A67A8" w:rsidP="005A67A8">
            <w:r w:rsidRPr="005A67A8">
              <w:t>1</w:t>
            </w:r>
          </w:p>
        </w:tc>
        <w:tc>
          <w:tcPr>
            <w:tcW w:w="960" w:type="dxa"/>
            <w:noWrap/>
            <w:hideMark/>
          </w:tcPr>
          <w:p w14:paraId="69A71DF5" w14:textId="77777777" w:rsidR="005A67A8" w:rsidRPr="005A67A8" w:rsidRDefault="005A67A8" w:rsidP="005A67A8">
            <w:r w:rsidRPr="005A67A8">
              <w:t>2</w:t>
            </w:r>
          </w:p>
        </w:tc>
        <w:tc>
          <w:tcPr>
            <w:tcW w:w="960" w:type="dxa"/>
            <w:noWrap/>
            <w:hideMark/>
          </w:tcPr>
          <w:p w14:paraId="4B352EBF" w14:textId="77777777" w:rsidR="005A67A8" w:rsidRPr="005A67A8" w:rsidRDefault="005A67A8" w:rsidP="005A67A8">
            <w:r w:rsidRPr="005A67A8">
              <w:t>1</w:t>
            </w:r>
          </w:p>
        </w:tc>
        <w:tc>
          <w:tcPr>
            <w:tcW w:w="960" w:type="dxa"/>
            <w:noWrap/>
            <w:hideMark/>
          </w:tcPr>
          <w:p w14:paraId="524F410F" w14:textId="77777777" w:rsidR="005A67A8" w:rsidRPr="005A67A8" w:rsidRDefault="005A67A8" w:rsidP="005A67A8">
            <w:r w:rsidRPr="005A67A8">
              <w:t>1</w:t>
            </w:r>
          </w:p>
        </w:tc>
        <w:tc>
          <w:tcPr>
            <w:tcW w:w="960" w:type="dxa"/>
            <w:noWrap/>
            <w:hideMark/>
          </w:tcPr>
          <w:p w14:paraId="457FB6F6" w14:textId="77777777" w:rsidR="005A67A8" w:rsidRPr="005A67A8" w:rsidRDefault="005A67A8" w:rsidP="005A67A8">
            <w:r w:rsidRPr="005A67A8">
              <w:t>7</w:t>
            </w:r>
          </w:p>
        </w:tc>
        <w:tc>
          <w:tcPr>
            <w:tcW w:w="960" w:type="dxa"/>
            <w:noWrap/>
            <w:hideMark/>
          </w:tcPr>
          <w:p w14:paraId="4F9AE564" w14:textId="77777777" w:rsidR="005A67A8" w:rsidRPr="005A67A8" w:rsidRDefault="005A67A8" w:rsidP="005A67A8">
            <w:r w:rsidRPr="005A67A8">
              <w:t>1</w:t>
            </w:r>
          </w:p>
        </w:tc>
        <w:tc>
          <w:tcPr>
            <w:tcW w:w="960" w:type="dxa"/>
            <w:noWrap/>
            <w:hideMark/>
          </w:tcPr>
          <w:p w14:paraId="045F07FF" w14:textId="77777777" w:rsidR="005A67A8" w:rsidRPr="005A67A8" w:rsidRDefault="005A67A8" w:rsidP="005A67A8">
            <w:r w:rsidRPr="005A67A8">
              <w:t>1</w:t>
            </w:r>
          </w:p>
        </w:tc>
        <w:tc>
          <w:tcPr>
            <w:tcW w:w="960" w:type="dxa"/>
            <w:noWrap/>
            <w:hideMark/>
          </w:tcPr>
          <w:p w14:paraId="4CC26CDF" w14:textId="77777777" w:rsidR="005A67A8" w:rsidRPr="005A67A8" w:rsidRDefault="005A67A8" w:rsidP="005A67A8">
            <w:r w:rsidRPr="005A67A8">
              <w:t>3</w:t>
            </w:r>
          </w:p>
        </w:tc>
      </w:tr>
      <w:tr w:rsidR="005A67A8" w:rsidRPr="005A67A8" w14:paraId="4DEE7A15" w14:textId="77777777" w:rsidTr="005A67A8">
        <w:trPr>
          <w:trHeight w:val="210"/>
        </w:trPr>
        <w:tc>
          <w:tcPr>
            <w:tcW w:w="1780" w:type="dxa"/>
            <w:noWrap/>
            <w:hideMark/>
          </w:tcPr>
          <w:p w14:paraId="3A5A69AC" w14:textId="77777777" w:rsidR="005A67A8" w:rsidRPr="005A67A8" w:rsidRDefault="005A67A8">
            <w:r w:rsidRPr="005A67A8">
              <w:t>E01025068</w:t>
            </w:r>
          </w:p>
        </w:tc>
        <w:tc>
          <w:tcPr>
            <w:tcW w:w="1560" w:type="dxa"/>
            <w:noWrap/>
            <w:hideMark/>
          </w:tcPr>
          <w:p w14:paraId="3994B6DD" w14:textId="77777777" w:rsidR="005A67A8" w:rsidRPr="005A67A8" w:rsidRDefault="005A67A8">
            <w:r w:rsidRPr="005A67A8">
              <w:t>Hyndburn 004G</w:t>
            </w:r>
          </w:p>
        </w:tc>
        <w:tc>
          <w:tcPr>
            <w:tcW w:w="1200" w:type="dxa"/>
            <w:noWrap/>
            <w:hideMark/>
          </w:tcPr>
          <w:p w14:paraId="19380BC9" w14:textId="77777777" w:rsidR="005A67A8" w:rsidRPr="005A67A8" w:rsidRDefault="005A67A8">
            <w:r w:rsidRPr="005A67A8">
              <w:t>Peel</w:t>
            </w:r>
          </w:p>
        </w:tc>
        <w:tc>
          <w:tcPr>
            <w:tcW w:w="960" w:type="dxa"/>
            <w:noWrap/>
            <w:hideMark/>
          </w:tcPr>
          <w:p w14:paraId="1628ED26" w14:textId="77777777" w:rsidR="005A67A8" w:rsidRPr="005A67A8" w:rsidRDefault="005A67A8" w:rsidP="005A67A8">
            <w:r w:rsidRPr="005A67A8">
              <w:t>1</w:t>
            </w:r>
          </w:p>
        </w:tc>
        <w:tc>
          <w:tcPr>
            <w:tcW w:w="960" w:type="dxa"/>
            <w:noWrap/>
            <w:hideMark/>
          </w:tcPr>
          <w:p w14:paraId="3B1E7717" w14:textId="77777777" w:rsidR="005A67A8" w:rsidRPr="005A67A8" w:rsidRDefault="005A67A8" w:rsidP="005A67A8">
            <w:r w:rsidRPr="005A67A8">
              <w:t>1</w:t>
            </w:r>
          </w:p>
        </w:tc>
        <w:tc>
          <w:tcPr>
            <w:tcW w:w="960" w:type="dxa"/>
            <w:noWrap/>
            <w:hideMark/>
          </w:tcPr>
          <w:p w14:paraId="1ACB6E3F" w14:textId="77777777" w:rsidR="005A67A8" w:rsidRPr="005A67A8" w:rsidRDefault="005A67A8" w:rsidP="005A67A8">
            <w:r w:rsidRPr="005A67A8">
              <w:t>1</w:t>
            </w:r>
          </w:p>
        </w:tc>
        <w:tc>
          <w:tcPr>
            <w:tcW w:w="960" w:type="dxa"/>
            <w:noWrap/>
            <w:hideMark/>
          </w:tcPr>
          <w:p w14:paraId="095125E8" w14:textId="77777777" w:rsidR="005A67A8" w:rsidRPr="005A67A8" w:rsidRDefault="005A67A8" w:rsidP="005A67A8">
            <w:r w:rsidRPr="005A67A8">
              <w:t>3</w:t>
            </w:r>
          </w:p>
        </w:tc>
        <w:tc>
          <w:tcPr>
            <w:tcW w:w="960" w:type="dxa"/>
            <w:noWrap/>
            <w:hideMark/>
          </w:tcPr>
          <w:p w14:paraId="0927DF8B" w14:textId="77777777" w:rsidR="005A67A8" w:rsidRPr="005A67A8" w:rsidRDefault="005A67A8" w:rsidP="005A67A8">
            <w:r w:rsidRPr="005A67A8">
              <w:t>1</w:t>
            </w:r>
          </w:p>
        </w:tc>
        <w:tc>
          <w:tcPr>
            <w:tcW w:w="960" w:type="dxa"/>
            <w:noWrap/>
            <w:hideMark/>
          </w:tcPr>
          <w:p w14:paraId="59B79C0E" w14:textId="77777777" w:rsidR="005A67A8" w:rsidRPr="005A67A8" w:rsidRDefault="005A67A8" w:rsidP="005A67A8">
            <w:r w:rsidRPr="005A67A8">
              <w:t>1</w:t>
            </w:r>
          </w:p>
        </w:tc>
        <w:tc>
          <w:tcPr>
            <w:tcW w:w="960" w:type="dxa"/>
            <w:noWrap/>
            <w:hideMark/>
          </w:tcPr>
          <w:p w14:paraId="73EAA6A4" w14:textId="77777777" w:rsidR="005A67A8" w:rsidRPr="005A67A8" w:rsidRDefault="005A67A8" w:rsidP="005A67A8">
            <w:r w:rsidRPr="005A67A8">
              <w:t>6</w:t>
            </w:r>
          </w:p>
        </w:tc>
        <w:tc>
          <w:tcPr>
            <w:tcW w:w="960" w:type="dxa"/>
            <w:noWrap/>
            <w:hideMark/>
          </w:tcPr>
          <w:p w14:paraId="0C07CE74" w14:textId="77777777" w:rsidR="005A67A8" w:rsidRPr="005A67A8" w:rsidRDefault="005A67A8" w:rsidP="005A67A8">
            <w:r w:rsidRPr="005A67A8">
              <w:t>1</w:t>
            </w:r>
          </w:p>
        </w:tc>
        <w:tc>
          <w:tcPr>
            <w:tcW w:w="960" w:type="dxa"/>
            <w:noWrap/>
            <w:hideMark/>
          </w:tcPr>
          <w:p w14:paraId="2287E8C5" w14:textId="77777777" w:rsidR="005A67A8" w:rsidRPr="005A67A8" w:rsidRDefault="005A67A8" w:rsidP="005A67A8">
            <w:r w:rsidRPr="005A67A8">
              <w:t>2</w:t>
            </w:r>
          </w:p>
        </w:tc>
        <w:tc>
          <w:tcPr>
            <w:tcW w:w="960" w:type="dxa"/>
            <w:noWrap/>
            <w:hideMark/>
          </w:tcPr>
          <w:p w14:paraId="52F9A2FC" w14:textId="77777777" w:rsidR="005A67A8" w:rsidRPr="005A67A8" w:rsidRDefault="005A67A8" w:rsidP="005A67A8">
            <w:r w:rsidRPr="005A67A8">
              <w:t>2</w:t>
            </w:r>
          </w:p>
        </w:tc>
      </w:tr>
      <w:tr w:rsidR="005A67A8" w:rsidRPr="005A67A8" w14:paraId="422BD93F" w14:textId="77777777" w:rsidTr="005A67A8">
        <w:trPr>
          <w:trHeight w:val="210"/>
        </w:trPr>
        <w:tc>
          <w:tcPr>
            <w:tcW w:w="1780" w:type="dxa"/>
            <w:noWrap/>
            <w:hideMark/>
          </w:tcPr>
          <w:p w14:paraId="50CE5DFB" w14:textId="77777777" w:rsidR="005A67A8" w:rsidRPr="005A67A8" w:rsidRDefault="005A67A8">
            <w:r w:rsidRPr="005A67A8">
              <w:t>E01025069</w:t>
            </w:r>
          </w:p>
        </w:tc>
        <w:tc>
          <w:tcPr>
            <w:tcW w:w="1560" w:type="dxa"/>
            <w:noWrap/>
            <w:hideMark/>
          </w:tcPr>
          <w:p w14:paraId="17F844AC" w14:textId="77777777" w:rsidR="005A67A8" w:rsidRPr="005A67A8" w:rsidRDefault="005A67A8">
            <w:r w:rsidRPr="005A67A8">
              <w:t>Hyndburn 004H</w:t>
            </w:r>
          </w:p>
        </w:tc>
        <w:tc>
          <w:tcPr>
            <w:tcW w:w="1200" w:type="dxa"/>
            <w:noWrap/>
            <w:hideMark/>
          </w:tcPr>
          <w:p w14:paraId="2A6F2FD6" w14:textId="77777777" w:rsidR="005A67A8" w:rsidRPr="005A67A8" w:rsidRDefault="005A67A8">
            <w:r w:rsidRPr="005A67A8">
              <w:t>Peel</w:t>
            </w:r>
          </w:p>
        </w:tc>
        <w:tc>
          <w:tcPr>
            <w:tcW w:w="960" w:type="dxa"/>
            <w:noWrap/>
            <w:hideMark/>
          </w:tcPr>
          <w:p w14:paraId="068AE4CF" w14:textId="77777777" w:rsidR="005A67A8" w:rsidRPr="005A67A8" w:rsidRDefault="005A67A8" w:rsidP="005A67A8">
            <w:r w:rsidRPr="005A67A8">
              <w:t>2</w:t>
            </w:r>
          </w:p>
        </w:tc>
        <w:tc>
          <w:tcPr>
            <w:tcW w:w="960" w:type="dxa"/>
            <w:noWrap/>
            <w:hideMark/>
          </w:tcPr>
          <w:p w14:paraId="1978984B" w14:textId="77777777" w:rsidR="005A67A8" w:rsidRPr="005A67A8" w:rsidRDefault="005A67A8" w:rsidP="005A67A8">
            <w:r w:rsidRPr="005A67A8">
              <w:t>3</w:t>
            </w:r>
          </w:p>
        </w:tc>
        <w:tc>
          <w:tcPr>
            <w:tcW w:w="960" w:type="dxa"/>
            <w:noWrap/>
            <w:hideMark/>
          </w:tcPr>
          <w:p w14:paraId="42772679" w14:textId="77777777" w:rsidR="005A67A8" w:rsidRPr="005A67A8" w:rsidRDefault="005A67A8" w:rsidP="005A67A8">
            <w:r w:rsidRPr="005A67A8">
              <w:t>2</w:t>
            </w:r>
          </w:p>
        </w:tc>
        <w:tc>
          <w:tcPr>
            <w:tcW w:w="960" w:type="dxa"/>
            <w:noWrap/>
            <w:hideMark/>
          </w:tcPr>
          <w:p w14:paraId="700BD6C2" w14:textId="77777777" w:rsidR="005A67A8" w:rsidRPr="005A67A8" w:rsidRDefault="005A67A8" w:rsidP="005A67A8">
            <w:r w:rsidRPr="005A67A8">
              <w:t>4</w:t>
            </w:r>
          </w:p>
        </w:tc>
        <w:tc>
          <w:tcPr>
            <w:tcW w:w="960" w:type="dxa"/>
            <w:noWrap/>
            <w:hideMark/>
          </w:tcPr>
          <w:p w14:paraId="113AB269" w14:textId="77777777" w:rsidR="005A67A8" w:rsidRPr="005A67A8" w:rsidRDefault="005A67A8" w:rsidP="005A67A8">
            <w:r w:rsidRPr="005A67A8">
              <w:t>1</w:t>
            </w:r>
          </w:p>
        </w:tc>
        <w:tc>
          <w:tcPr>
            <w:tcW w:w="960" w:type="dxa"/>
            <w:noWrap/>
            <w:hideMark/>
          </w:tcPr>
          <w:p w14:paraId="13DB2935" w14:textId="77777777" w:rsidR="005A67A8" w:rsidRPr="005A67A8" w:rsidRDefault="005A67A8" w:rsidP="005A67A8">
            <w:r w:rsidRPr="005A67A8">
              <w:t>3</w:t>
            </w:r>
          </w:p>
        </w:tc>
        <w:tc>
          <w:tcPr>
            <w:tcW w:w="960" w:type="dxa"/>
            <w:noWrap/>
            <w:hideMark/>
          </w:tcPr>
          <w:p w14:paraId="59C89F88" w14:textId="77777777" w:rsidR="005A67A8" w:rsidRPr="005A67A8" w:rsidRDefault="005A67A8" w:rsidP="005A67A8">
            <w:r w:rsidRPr="005A67A8">
              <w:t>7</w:t>
            </w:r>
          </w:p>
        </w:tc>
        <w:tc>
          <w:tcPr>
            <w:tcW w:w="960" w:type="dxa"/>
            <w:noWrap/>
            <w:hideMark/>
          </w:tcPr>
          <w:p w14:paraId="009D16FA" w14:textId="77777777" w:rsidR="005A67A8" w:rsidRPr="005A67A8" w:rsidRDefault="005A67A8" w:rsidP="005A67A8">
            <w:r w:rsidRPr="005A67A8">
              <w:t>1</w:t>
            </w:r>
          </w:p>
        </w:tc>
        <w:tc>
          <w:tcPr>
            <w:tcW w:w="960" w:type="dxa"/>
            <w:noWrap/>
            <w:hideMark/>
          </w:tcPr>
          <w:p w14:paraId="25871DE2" w14:textId="77777777" w:rsidR="005A67A8" w:rsidRPr="005A67A8" w:rsidRDefault="005A67A8" w:rsidP="005A67A8">
            <w:r w:rsidRPr="005A67A8">
              <w:t>3</w:t>
            </w:r>
          </w:p>
        </w:tc>
        <w:tc>
          <w:tcPr>
            <w:tcW w:w="960" w:type="dxa"/>
            <w:noWrap/>
            <w:hideMark/>
          </w:tcPr>
          <w:p w14:paraId="4B922F42" w14:textId="77777777" w:rsidR="005A67A8" w:rsidRPr="005A67A8" w:rsidRDefault="005A67A8" w:rsidP="005A67A8">
            <w:r w:rsidRPr="005A67A8">
              <w:t>4</w:t>
            </w:r>
          </w:p>
        </w:tc>
      </w:tr>
      <w:tr w:rsidR="005A67A8" w:rsidRPr="005A67A8" w14:paraId="7919F336" w14:textId="77777777" w:rsidTr="005A67A8">
        <w:trPr>
          <w:trHeight w:val="210"/>
        </w:trPr>
        <w:tc>
          <w:tcPr>
            <w:tcW w:w="1780" w:type="dxa"/>
            <w:noWrap/>
            <w:hideMark/>
          </w:tcPr>
          <w:p w14:paraId="273A1503" w14:textId="77777777" w:rsidR="005A67A8" w:rsidRPr="005A67A8" w:rsidRDefault="005A67A8">
            <w:r w:rsidRPr="005A67A8">
              <w:t>E01025070</w:t>
            </w:r>
          </w:p>
        </w:tc>
        <w:tc>
          <w:tcPr>
            <w:tcW w:w="1560" w:type="dxa"/>
            <w:noWrap/>
            <w:hideMark/>
          </w:tcPr>
          <w:p w14:paraId="7A44E6BC" w14:textId="77777777" w:rsidR="005A67A8" w:rsidRPr="005A67A8" w:rsidRDefault="005A67A8">
            <w:r w:rsidRPr="005A67A8">
              <w:t>Hyndburn 003A</w:t>
            </w:r>
          </w:p>
        </w:tc>
        <w:tc>
          <w:tcPr>
            <w:tcW w:w="1200" w:type="dxa"/>
            <w:noWrap/>
            <w:hideMark/>
          </w:tcPr>
          <w:p w14:paraId="4054A18C" w14:textId="77777777" w:rsidR="005A67A8" w:rsidRPr="005A67A8" w:rsidRDefault="005A67A8">
            <w:r w:rsidRPr="005A67A8">
              <w:t>Rishton</w:t>
            </w:r>
          </w:p>
        </w:tc>
        <w:tc>
          <w:tcPr>
            <w:tcW w:w="960" w:type="dxa"/>
            <w:noWrap/>
            <w:hideMark/>
          </w:tcPr>
          <w:p w14:paraId="09C65D64" w14:textId="77777777" w:rsidR="005A67A8" w:rsidRPr="005A67A8" w:rsidRDefault="005A67A8" w:rsidP="005A67A8">
            <w:r w:rsidRPr="005A67A8">
              <w:t>1</w:t>
            </w:r>
          </w:p>
        </w:tc>
        <w:tc>
          <w:tcPr>
            <w:tcW w:w="960" w:type="dxa"/>
            <w:noWrap/>
            <w:hideMark/>
          </w:tcPr>
          <w:p w14:paraId="19F97D87" w14:textId="77777777" w:rsidR="005A67A8" w:rsidRPr="005A67A8" w:rsidRDefault="005A67A8" w:rsidP="005A67A8">
            <w:r w:rsidRPr="005A67A8">
              <w:t>1</w:t>
            </w:r>
          </w:p>
        </w:tc>
        <w:tc>
          <w:tcPr>
            <w:tcW w:w="960" w:type="dxa"/>
            <w:noWrap/>
            <w:hideMark/>
          </w:tcPr>
          <w:p w14:paraId="1351605D" w14:textId="77777777" w:rsidR="005A67A8" w:rsidRPr="005A67A8" w:rsidRDefault="005A67A8" w:rsidP="005A67A8">
            <w:r w:rsidRPr="005A67A8">
              <w:t>1</w:t>
            </w:r>
          </w:p>
        </w:tc>
        <w:tc>
          <w:tcPr>
            <w:tcW w:w="960" w:type="dxa"/>
            <w:noWrap/>
            <w:hideMark/>
          </w:tcPr>
          <w:p w14:paraId="33EA8BBB" w14:textId="77777777" w:rsidR="005A67A8" w:rsidRPr="005A67A8" w:rsidRDefault="005A67A8" w:rsidP="005A67A8">
            <w:r w:rsidRPr="005A67A8">
              <w:t>3</w:t>
            </w:r>
          </w:p>
        </w:tc>
        <w:tc>
          <w:tcPr>
            <w:tcW w:w="960" w:type="dxa"/>
            <w:noWrap/>
            <w:hideMark/>
          </w:tcPr>
          <w:p w14:paraId="47FF4466" w14:textId="77777777" w:rsidR="005A67A8" w:rsidRPr="005A67A8" w:rsidRDefault="005A67A8" w:rsidP="005A67A8">
            <w:r w:rsidRPr="005A67A8">
              <w:t>1</w:t>
            </w:r>
          </w:p>
        </w:tc>
        <w:tc>
          <w:tcPr>
            <w:tcW w:w="960" w:type="dxa"/>
            <w:noWrap/>
            <w:hideMark/>
          </w:tcPr>
          <w:p w14:paraId="26EFD120" w14:textId="77777777" w:rsidR="005A67A8" w:rsidRPr="005A67A8" w:rsidRDefault="005A67A8" w:rsidP="005A67A8">
            <w:r w:rsidRPr="005A67A8">
              <w:t>2</w:t>
            </w:r>
          </w:p>
        </w:tc>
        <w:tc>
          <w:tcPr>
            <w:tcW w:w="960" w:type="dxa"/>
            <w:noWrap/>
            <w:hideMark/>
          </w:tcPr>
          <w:p w14:paraId="59368AD2" w14:textId="77777777" w:rsidR="005A67A8" w:rsidRPr="005A67A8" w:rsidRDefault="005A67A8" w:rsidP="005A67A8">
            <w:r w:rsidRPr="005A67A8">
              <w:t>6</w:t>
            </w:r>
          </w:p>
        </w:tc>
        <w:tc>
          <w:tcPr>
            <w:tcW w:w="960" w:type="dxa"/>
            <w:noWrap/>
            <w:hideMark/>
          </w:tcPr>
          <w:p w14:paraId="1C787E19" w14:textId="77777777" w:rsidR="005A67A8" w:rsidRPr="005A67A8" w:rsidRDefault="005A67A8" w:rsidP="005A67A8">
            <w:r w:rsidRPr="005A67A8">
              <w:t>1</w:t>
            </w:r>
          </w:p>
        </w:tc>
        <w:tc>
          <w:tcPr>
            <w:tcW w:w="960" w:type="dxa"/>
            <w:noWrap/>
            <w:hideMark/>
          </w:tcPr>
          <w:p w14:paraId="558A3675" w14:textId="77777777" w:rsidR="005A67A8" w:rsidRPr="005A67A8" w:rsidRDefault="005A67A8" w:rsidP="005A67A8">
            <w:r w:rsidRPr="005A67A8">
              <w:t>1</w:t>
            </w:r>
          </w:p>
        </w:tc>
        <w:tc>
          <w:tcPr>
            <w:tcW w:w="960" w:type="dxa"/>
            <w:noWrap/>
            <w:hideMark/>
          </w:tcPr>
          <w:p w14:paraId="32581B3E" w14:textId="77777777" w:rsidR="005A67A8" w:rsidRPr="005A67A8" w:rsidRDefault="005A67A8" w:rsidP="005A67A8">
            <w:r w:rsidRPr="005A67A8">
              <w:t>2</w:t>
            </w:r>
          </w:p>
        </w:tc>
      </w:tr>
      <w:tr w:rsidR="005A67A8" w:rsidRPr="005A67A8" w14:paraId="5936F06F" w14:textId="77777777" w:rsidTr="005A67A8">
        <w:trPr>
          <w:trHeight w:val="210"/>
        </w:trPr>
        <w:tc>
          <w:tcPr>
            <w:tcW w:w="1780" w:type="dxa"/>
            <w:noWrap/>
            <w:hideMark/>
          </w:tcPr>
          <w:p w14:paraId="739448B6" w14:textId="77777777" w:rsidR="005A67A8" w:rsidRPr="005A67A8" w:rsidRDefault="005A67A8">
            <w:r w:rsidRPr="005A67A8">
              <w:t>E01025071</w:t>
            </w:r>
          </w:p>
        </w:tc>
        <w:tc>
          <w:tcPr>
            <w:tcW w:w="1560" w:type="dxa"/>
            <w:noWrap/>
            <w:hideMark/>
          </w:tcPr>
          <w:p w14:paraId="1AB6761D" w14:textId="77777777" w:rsidR="005A67A8" w:rsidRPr="005A67A8" w:rsidRDefault="005A67A8">
            <w:r w:rsidRPr="005A67A8">
              <w:t>Hyndburn 003B</w:t>
            </w:r>
          </w:p>
        </w:tc>
        <w:tc>
          <w:tcPr>
            <w:tcW w:w="1200" w:type="dxa"/>
            <w:noWrap/>
            <w:hideMark/>
          </w:tcPr>
          <w:p w14:paraId="64DE0416" w14:textId="77777777" w:rsidR="005A67A8" w:rsidRPr="005A67A8" w:rsidRDefault="005A67A8">
            <w:r w:rsidRPr="005A67A8">
              <w:t>Rishton</w:t>
            </w:r>
          </w:p>
        </w:tc>
        <w:tc>
          <w:tcPr>
            <w:tcW w:w="960" w:type="dxa"/>
            <w:noWrap/>
            <w:hideMark/>
          </w:tcPr>
          <w:p w14:paraId="344F99C2" w14:textId="77777777" w:rsidR="005A67A8" w:rsidRPr="005A67A8" w:rsidRDefault="005A67A8" w:rsidP="005A67A8">
            <w:r w:rsidRPr="005A67A8">
              <w:t>3</w:t>
            </w:r>
          </w:p>
        </w:tc>
        <w:tc>
          <w:tcPr>
            <w:tcW w:w="960" w:type="dxa"/>
            <w:noWrap/>
            <w:hideMark/>
          </w:tcPr>
          <w:p w14:paraId="6CCA722D" w14:textId="77777777" w:rsidR="005A67A8" w:rsidRPr="005A67A8" w:rsidRDefault="005A67A8" w:rsidP="005A67A8">
            <w:r w:rsidRPr="005A67A8">
              <w:t>4</w:t>
            </w:r>
          </w:p>
        </w:tc>
        <w:tc>
          <w:tcPr>
            <w:tcW w:w="960" w:type="dxa"/>
            <w:noWrap/>
            <w:hideMark/>
          </w:tcPr>
          <w:p w14:paraId="2D8B2C39" w14:textId="77777777" w:rsidR="005A67A8" w:rsidRPr="005A67A8" w:rsidRDefault="005A67A8" w:rsidP="005A67A8">
            <w:r w:rsidRPr="005A67A8">
              <w:t>3</w:t>
            </w:r>
          </w:p>
        </w:tc>
        <w:tc>
          <w:tcPr>
            <w:tcW w:w="960" w:type="dxa"/>
            <w:noWrap/>
            <w:hideMark/>
          </w:tcPr>
          <w:p w14:paraId="4F2C548F" w14:textId="77777777" w:rsidR="005A67A8" w:rsidRPr="005A67A8" w:rsidRDefault="005A67A8" w:rsidP="005A67A8">
            <w:r w:rsidRPr="005A67A8">
              <w:t>5</w:t>
            </w:r>
          </w:p>
        </w:tc>
        <w:tc>
          <w:tcPr>
            <w:tcW w:w="960" w:type="dxa"/>
            <w:noWrap/>
            <w:hideMark/>
          </w:tcPr>
          <w:p w14:paraId="72B4C138" w14:textId="77777777" w:rsidR="005A67A8" w:rsidRPr="005A67A8" w:rsidRDefault="005A67A8" w:rsidP="005A67A8">
            <w:r w:rsidRPr="005A67A8">
              <w:t>2</w:t>
            </w:r>
          </w:p>
        </w:tc>
        <w:tc>
          <w:tcPr>
            <w:tcW w:w="960" w:type="dxa"/>
            <w:noWrap/>
            <w:hideMark/>
          </w:tcPr>
          <w:p w14:paraId="1B65884B" w14:textId="77777777" w:rsidR="005A67A8" w:rsidRPr="005A67A8" w:rsidRDefault="005A67A8" w:rsidP="005A67A8">
            <w:r w:rsidRPr="005A67A8">
              <w:t>2</w:t>
            </w:r>
          </w:p>
        </w:tc>
        <w:tc>
          <w:tcPr>
            <w:tcW w:w="960" w:type="dxa"/>
            <w:noWrap/>
            <w:hideMark/>
          </w:tcPr>
          <w:p w14:paraId="212A5DF8" w14:textId="77777777" w:rsidR="005A67A8" w:rsidRPr="005A67A8" w:rsidRDefault="005A67A8" w:rsidP="005A67A8">
            <w:r w:rsidRPr="005A67A8">
              <w:t>8</w:t>
            </w:r>
          </w:p>
        </w:tc>
        <w:tc>
          <w:tcPr>
            <w:tcW w:w="960" w:type="dxa"/>
            <w:noWrap/>
            <w:hideMark/>
          </w:tcPr>
          <w:p w14:paraId="7163B9D3" w14:textId="77777777" w:rsidR="005A67A8" w:rsidRPr="005A67A8" w:rsidRDefault="005A67A8" w:rsidP="005A67A8">
            <w:r w:rsidRPr="005A67A8">
              <w:t>3</w:t>
            </w:r>
          </w:p>
        </w:tc>
        <w:tc>
          <w:tcPr>
            <w:tcW w:w="960" w:type="dxa"/>
            <w:noWrap/>
            <w:hideMark/>
          </w:tcPr>
          <w:p w14:paraId="19DCBF7A" w14:textId="77777777" w:rsidR="005A67A8" w:rsidRPr="005A67A8" w:rsidRDefault="005A67A8" w:rsidP="005A67A8">
            <w:r w:rsidRPr="005A67A8">
              <w:t>4</w:t>
            </w:r>
          </w:p>
        </w:tc>
        <w:tc>
          <w:tcPr>
            <w:tcW w:w="960" w:type="dxa"/>
            <w:noWrap/>
            <w:hideMark/>
          </w:tcPr>
          <w:p w14:paraId="44AA6D7B" w14:textId="77777777" w:rsidR="005A67A8" w:rsidRPr="005A67A8" w:rsidRDefault="005A67A8" w:rsidP="005A67A8">
            <w:r w:rsidRPr="005A67A8">
              <w:t>4</w:t>
            </w:r>
          </w:p>
        </w:tc>
      </w:tr>
      <w:tr w:rsidR="005A67A8" w:rsidRPr="005A67A8" w14:paraId="14249768" w14:textId="77777777" w:rsidTr="005A67A8">
        <w:trPr>
          <w:trHeight w:val="210"/>
        </w:trPr>
        <w:tc>
          <w:tcPr>
            <w:tcW w:w="1780" w:type="dxa"/>
            <w:noWrap/>
            <w:hideMark/>
          </w:tcPr>
          <w:p w14:paraId="2BB2A99E" w14:textId="77777777" w:rsidR="005A67A8" w:rsidRPr="005A67A8" w:rsidRDefault="005A67A8">
            <w:r w:rsidRPr="005A67A8">
              <w:t>E01025072</w:t>
            </w:r>
          </w:p>
        </w:tc>
        <w:tc>
          <w:tcPr>
            <w:tcW w:w="1560" w:type="dxa"/>
            <w:noWrap/>
            <w:hideMark/>
          </w:tcPr>
          <w:p w14:paraId="0021DD55" w14:textId="77777777" w:rsidR="005A67A8" w:rsidRPr="005A67A8" w:rsidRDefault="005A67A8">
            <w:r w:rsidRPr="005A67A8">
              <w:t>Hyndburn 003C</w:t>
            </w:r>
          </w:p>
        </w:tc>
        <w:tc>
          <w:tcPr>
            <w:tcW w:w="1200" w:type="dxa"/>
            <w:noWrap/>
            <w:hideMark/>
          </w:tcPr>
          <w:p w14:paraId="2E34AB92" w14:textId="77777777" w:rsidR="005A67A8" w:rsidRPr="005A67A8" w:rsidRDefault="005A67A8">
            <w:r w:rsidRPr="005A67A8">
              <w:t>Rishton</w:t>
            </w:r>
          </w:p>
        </w:tc>
        <w:tc>
          <w:tcPr>
            <w:tcW w:w="960" w:type="dxa"/>
            <w:noWrap/>
            <w:hideMark/>
          </w:tcPr>
          <w:p w14:paraId="35A6C187" w14:textId="77777777" w:rsidR="005A67A8" w:rsidRPr="005A67A8" w:rsidRDefault="005A67A8" w:rsidP="005A67A8">
            <w:r w:rsidRPr="005A67A8">
              <w:t>2</w:t>
            </w:r>
          </w:p>
        </w:tc>
        <w:tc>
          <w:tcPr>
            <w:tcW w:w="960" w:type="dxa"/>
            <w:noWrap/>
            <w:hideMark/>
          </w:tcPr>
          <w:p w14:paraId="595B36D3" w14:textId="77777777" w:rsidR="005A67A8" w:rsidRPr="005A67A8" w:rsidRDefault="005A67A8" w:rsidP="005A67A8">
            <w:r w:rsidRPr="005A67A8">
              <w:t>2</w:t>
            </w:r>
          </w:p>
        </w:tc>
        <w:tc>
          <w:tcPr>
            <w:tcW w:w="960" w:type="dxa"/>
            <w:noWrap/>
            <w:hideMark/>
          </w:tcPr>
          <w:p w14:paraId="1B53343E" w14:textId="77777777" w:rsidR="005A67A8" w:rsidRPr="005A67A8" w:rsidRDefault="005A67A8" w:rsidP="005A67A8">
            <w:r w:rsidRPr="005A67A8">
              <w:t>2</w:t>
            </w:r>
          </w:p>
        </w:tc>
        <w:tc>
          <w:tcPr>
            <w:tcW w:w="960" w:type="dxa"/>
            <w:noWrap/>
            <w:hideMark/>
          </w:tcPr>
          <w:p w14:paraId="6207DE1A" w14:textId="77777777" w:rsidR="005A67A8" w:rsidRPr="005A67A8" w:rsidRDefault="005A67A8" w:rsidP="005A67A8">
            <w:r w:rsidRPr="005A67A8">
              <w:t>3</w:t>
            </w:r>
          </w:p>
        </w:tc>
        <w:tc>
          <w:tcPr>
            <w:tcW w:w="960" w:type="dxa"/>
            <w:noWrap/>
            <w:hideMark/>
          </w:tcPr>
          <w:p w14:paraId="62E07265" w14:textId="77777777" w:rsidR="005A67A8" w:rsidRPr="005A67A8" w:rsidRDefault="005A67A8" w:rsidP="005A67A8">
            <w:r w:rsidRPr="005A67A8">
              <w:t>1</w:t>
            </w:r>
          </w:p>
        </w:tc>
        <w:tc>
          <w:tcPr>
            <w:tcW w:w="960" w:type="dxa"/>
            <w:noWrap/>
            <w:hideMark/>
          </w:tcPr>
          <w:p w14:paraId="57917C8F" w14:textId="77777777" w:rsidR="005A67A8" w:rsidRPr="005A67A8" w:rsidRDefault="005A67A8" w:rsidP="005A67A8">
            <w:r w:rsidRPr="005A67A8">
              <w:t>2</w:t>
            </w:r>
          </w:p>
        </w:tc>
        <w:tc>
          <w:tcPr>
            <w:tcW w:w="960" w:type="dxa"/>
            <w:noWrap/>
            <w:hideMark/>
          </w:tcPr>
          <w:p w14:paraId="03645B0F" w14:textId="77777777" w:rsidR="005A67A8" w:rsidRPr="005A67A8" w:rsidRDefault="005A67A8" w:rsidP="005A67A8">
            <w:r w:rsidRPr="005A67A8">
              <w:t>6</w:t>
            </w:r>
          </w:p>
        </w:tc>
        <w:tc>
          <w:tcPr>
            <w:tcW w:w="960" w:type="dxa"/>
            <w:noWrap/>
            <w:hideMark/>
          </w:tcPr>
          <w:p w14:paraId="3C061183" w14:textId="77777777" w:rsidR="005A67A8" w:rsidRPr="005A67A8" w:rsidRDefault="005A67A8" w:rsidP="005A67A8">
            <w:r w:rsidRPr="005A67A8">
              <w:t>1</w:t>
            </w:r>
          </w:p>
        </w:tc>
        <w:tc>
          <w:tcPr>
            <w:tcW w:w="960" w:type="dxa"/>
            <w:noWrap/>
            <w:hideMark/>
          </w:tcPr>
          <w:p w14:paraId="4FDA97DE" w14:textId="77777777" w:rsidR="005A67A8" w:rsidRPr="005A67A8" w:rsidRDefault="005A67A8" w:rsidP="005A67A8">
            <w:r w:rsidRPr="005A67A8">
              <w:t>2</w:t>
            </w:r>
          </w:p>
        </w:tc>
        <w:tc>
          <w:tcPr>
            <w:tcW w:w="960" w:type="dxa"/>
            <w:noWrap/>
            <w:hideMark/>
          </w:tcPr>
          <w:p w14:paraId="10011238" w14:textId="77777777" w:rsidR="005A67A8" w:rsidRPr="005A67A8" w:rsidRDefault="005A67A8" w:rsidP="005A67A8">
            <w:r w:rsidRPr="005A67A8">
              <w:t>3</w:t>
            </w:r>
          </w:p>
        </w:tc>
      </w:tr>
      <w:tr w:rsidR="005A67A8" w:rsidRPr="005A67A8" w14:paraId="5CEE827C" w14:textId="77777777" w:rsidTr="005A67A8">
        <w:trPr>
          <w:trHeight w:val="210"/>
        </w:trPr>
        <w:tc>
          <w:tcPr>
            <w:tcW w:w="1780" w:type="dxa"/>
            <w:noWrap/>
            <w:hideMark/>
          </w:tcPr>
          <w:p w14:paraId="5AD138F0" w14:textId="77777777" w:rsidR="005A67A8" w:rsidRPr="005A67A8" w:rsidRDefault="005A67A8">
            <w:r w:rsidRPr="005A67A8">
              <w:t>E01025073</w:t>
            </w:r>
          </w:p>
        </w:tc>
        <w:tc>
          <w:tcPr>
            <w:tcW w:w="1560" w:type="dxa"/>
            <w:noWrap/>
            <w:hideMark/>
          </w:tcPr>
          <w:p w14:paraId="278225F5" w14:textId="77777777" w:rsidR="005A67A8" w:rsidRPr="005A67A8" w:rsidRDefault="005A67A8">
            <w:r w:rsidRPr="005A67A8">
              <w:t>Hyndburn 003D</w:t>
            </w:r>
          </w:p>
        </w:tc>
        <w:tc>
          <w:tcPr>
            <w:tcW w:w="1200" w:type="dxa"/>
            <w:noWrap/>
            <w:hideMark/>
          </w:tcPr>
          <w:p w14:paraId="46F6E884" w14:textId="77777777" w:rsidR="005A67A8" w:rsidRPr="005A67A8" w:rsidRDefault="005A67A8">
            <w:r w:rsidRPr="005A67A8">
              <w:t>Rishton</w:t>
            </w:r>
          </w:p>
        </w:tc>
        <w:tc>
          <w:tcPr>
            <w:tcW w:w="960" w:type="dxa"/>
            <w:noWrap/>
            <w:hideMark/>
          </w:tcPr>
          <w:p w14:paraId="0942F8DB" w14:textId="77777777" w:rsidR="005A67A8" w:rsidRPr="005A67A8" w:rsidRDefault="005A67A8" w:rsidP="005A67A8">
            <w:r w:rsidRPr="005A67A8">
              <w:t>3</w:t>
            </w:r>
          </w:p>
        </w:tc>
        <w:tc>
          <w:tcPr>
            <w:tcW w:w="960" w:type="dxa"/>
            <w:noWrap/>
            <w:hideMark/>
          </w:tcPr>
          <w:p w14:paraId="6951A86C" w14:textId="77777777" w:rsidR="005A67A8" w:rsidRPr="005A67A8" w:rsidRDefault="005A67A8" w:rsidP="005A67A8">
            <w:r w:rsidRPr="005A67A8">
              <w:t>5</w:t>
            </w:r>
          </w:p>
        </w:tc>
        <w:tc>
          <w:tcPr>
            <w:tcW w:w="960" w:type="dxa"/>
            <w:noWrap/>
            <w:hideMark/>
          </w:tcPr>
          <w:p w14:paraId="7CB72048" w14:textId="77777777" w:rsidR="005A67A8" w:rsidRPr="005A67A8" w:rsidRDefault="005A67A8" w:rsidP="005A67A8">
            <w:r w:rsidRPr="005A67A8">
              <w:t>3</w:t>
            </w:r>
          </w:p>
        </w:tc>
        <w:tc>
          <w:tcPr>
            <w:tcW w:w="960" w:type="dxa"/>
            <w:noWrap/>
            <w:hideMark/>
          </w:tcPr>
          <w:p w14:paraId="185E5D53" w14:textId="77777777" w:rsidR="005A67A8" w:rsidRPr="005A67A8" w:rsidRDefault="005A67A8" w:rsidP="005A67A8">
            <w:r w:rsidRPr="005A67A8">
              <w:t>4</w:t>
            </w:r>
          </w:p>
        </w:tc>
        <w:tc>
          <w:tcPr>
            <w:tcW w:w="960" w:type="dxa"/>
            <w:noWrap/>
            <w:hideMark/>
          </w:tcPr>
          <w:p w14:paraId="772EF3AB" w14:textId="77777777" w:rsidR="005A67A8" w:rsidRPr="005A67A8" w:rsidRDefault="005A67A8" w:rsidP="005A67A8">
            <w:r w:rsidRPr="005A67A8">
              <w:t>2</w:t>
            </w:r>
          </w:p>
        </w:tc>
        <w:tc>
          <w:tcPr>
            <w:tcW w:w="960" w:type="dxa"/>
            <w:noWrap/>
            <w:hideMark/>
          </w:tcPr>
          <w:p w14:paraId="5F46E200" w14:textId="77777777" w:rsidR="005A67A8" w:rsidRPr="005A67A8" w:rsidRDefault="005A67A8" w:rsidP="005A67A8">
            <w:r w:rsidRPr="005A67A8">
              <w:t>5</w:t>
            </w:r>
          </w:p>
        </w:tc>
        <w:tc>
          <w:tcPr>
            <w:tcW w:w="960" w:type="dxa"/>
            <w:noWrap/>
            <w:hideMark/>
          </w:tcPr>
          <w:p w14:paraId="3D591602" w14:textId="77777777" w:rsidR="005A67A8" w:rsidRPr="005A67A8" w:rsidRDefault="005A67A8" w:rsidP="005A67A8">
            <w:r w:rsidRPr="005A67A8">
              <w:t>9</w:t>
            </w:r>
          </w:p>
        </w:tc>
        <w:tc>
          <w:tcPr>
            <w:tcW w:w="960" w:type="dxa"/>
            <w:noWrap/>
            <w:hideMark/>
          </w:tcPr>
          <w:p w14:paraId="1DAE15CF" w14:textId="77777777" w:rsidR="005A67A8" w:rsidRPr="005A67A8" w:rsidRDefault="005A67A8" w:rsidP="005A67A8">
            <w:r w:rsidRPr="005A67A8">
              <w:t>1</w:t>
            </w:r>
          </w:p>
        </w:tc>
        <w:tc>
          <w:tcPr>
            <w:tcW w:w="960" w:type="dxa"/>
            <w:noWrap/>
            <w:hideMark/>
          </w:tcPr>
          <w:p w14:paraId="3A8759D3" w14:textId="77777777" w:rsidR="005A67A8" w:rsidRPr="005A67A8" w:rsidRDefault="005A67A8" w:rsidP="005A67A8">
            <w:r w:rsidRPr="005A67A8">
              <w:t>5</w:t>
            </w:r>
          </w:p>
        </w:tc>
        <w:tc>
          <w:tcPr>
            <w:tcW w:w="960" w:type="dxa"/>
            <w:noWrap/>
            <w:hideMark/>
          </w:tcPr>
          <w:p w14:paraId="758DD342" w14:textId="77777777" w:rsidR="005A67A8" w:rsidRPr="005A67A8" w:rsidRDefault="005A67A8" w:rsidP="005A67A8">
            <w:r w:rsidRPr="005A67A8">
              <w:t>6</w:t>
            </w:r>
          </w:p>
        </w:tc>
      </w:tr>
      <w:tr w:rsidR="005A67A8" w:rsidRPr="005A67A8" w14:paraId="541CAA05" w14:textId="77777777" w:rsidTr="005A67A8">
        <w:trPr>
          <w:trHeight w:val="210"/>
        </w:trPr>
        <w:tc>
          <w:tcPr>
            <w:tcW w:w="1780" w:type="dxa"/>
            <w:noWrap/>
            <w:hideMark/>
          </w:tcPr>
          <w:p w14:paraId="4510C476" w14:textId="77777777" w:rsidR="005A67A8" w:rsidRPr="005A67A8" w:rsidRDefault="005A67A8">
            <w:r w:rsidRPr="005A67A8">
              <w:t>E01025074</w:t>
            </w:r>
          </w:p>
        </w:tc>
        <w:tc>
          <w:tcPr>
            <w:tcW w:w="1560" w:type="dxa"/>
            <w:noWrap/>
            <w:hideMark/>
          </w:tcPr>
          <w:p w14:paraId="2F4DAE8C" w14:textId="77777777" w:rsidR="005A67A8" w:rsidRPr="005A67A8" w:rsidRDefault="005A67A8">
            <w:r w:rsidRPr="005A67A8">
              <w:t>Hyndburn 003E</w:t>
            </w:r>
          </w:p>
        </w:tc>
        <w:tc>
          <w:tcPr>
            <w:tcW w:w="1200" w:type="dxa"/>
            <w:noWrap/>
            <w:hideMark/>
          </w:tcPr>
          <w:p w14:paraId="522DF5DE" w14:textId="77777777" w:rsidR="005A67A8" w:rsidRPr="005A67A8" w:rsidRDefault="005A67A8">
            <w:r w:rsidRPr="005A67A8">
              <w:t>Rishton</w:t>
            </w:r>
          </w:p>
        </w:tc>
        <w:tc>
          <w:tcPr>
            <w:tcW w:w="960" w:type="dxa"/>
            <w:noWrap/>
            <w:hideMark/>
          </w:tcPr>
          <w:p w14:paraId="483E2AA7" w14:textId="77777777" w:rsidR="005A67A8" w:rsidRPr="005A67A8" w:rsidRDefault="005A67A8" w:rsidP="005A67A8">
            <w:r w:rsidRPr="005A67A8">
              <w:t>9</w:t>
            </w:r>
          </w:p>
        </w:tc>
        <w:tc>
          <w:tcPr>
            <w:tcW w:w="960" w:type="dxa"/>
            <w:noWrap/>
            <w:hideMark/>
          </w:tcPr>
          <w:p w14:paraId="13F71CD1" w14:textId="77777777" w:rsidR="005A67A8" w:rsidRPr="005A67A8" w:rsidRDefault="005A67A8" w:rsidP="005A67A8">
            <w:r w:rsidRPr="005A67A8">
              <w:t>10</w:t>
            </w:r>
          </w:p>
        </w:tc>
        <w:tc>
          <w:tcPr>
            <w:tcW w:w="960" w:type="dxa"/>
            <w:noWrap/>
            <w:hideMark/>
          </w:tcPr>
          <w:p w14:paraId="0A1930BB" w14:textId="77777777" w:rsidR="005A67A8" w:rsidRPr="005A67A8" w:rsidRDefault="005A67A8" w:rsidP="005A67A8">
            <w:r w:rsidRPr="005A67A8">
              <w:t>9</w:t>
            </w:r>
          </w:p>
        </w:tc>
        <w:tc>
          <w:tcPr>
            <w:tcW w:w="960" w:type="dxa"/>
            <w:noWrap/>
            <w:hideMark/>
          </w:tcPr>
          <w:p w14:paraId="036F2F42" w14:textId="77777777" w:rsidR="005A67A8" w:rsidRPr="005A67A8" w:rsidRDefault="005A67A8" w:rsidP="005A67A8">
            <w:r w:rsidRPr="005A67A8">
              <w:t>8</w:t>
            </w:r>
          </w:p>
        </w:tc>
        <w:tc>
          <w:tcPr>
            <w:tcW w:w="960" w:type="dxa"/>
            <w:noWrap/>
            <w:hideMark/>
          </w:tcPr>
          <w:p w14:paraId="5B74A8BA" w14:textId="77777777" w:rsidR="005A67A8" w:rsidRPr="005A67A8" w:rsidRDefault="005A67A8" w:rsidP="005A67A8">
            <w:r w:rsidRPr="005A67A8">
              <w:t>5</w:t>
            </w:r>
          </w:p>
        </w:tc>
        <w:tc>
          <w:tcPr>
            <w:tcW w:w="960" w:type="dxa"/>
            <w:noWrap/>
            <w:hideMark/>
          </w:tcPr>
          <w:p w14:paraId="2579D8CA" w14:textId="77777777" w:rsidR="005A67A8" w:rsidRPr="005A67A8" w:rsidRDefault="005A67A8" w:rsidP="005A67A8">
            <w:r w:rsidRPr="005A67A8">
              <w:t>6</w:t>
            </w:r>
          </w:p>
        </w:tc>
        <w:tc>
          <w:tcPr>
            <w:tcW w:w="960" w:type="dxa"/>
            <w:noWrap/>
            <w:hideMark/>
          </w:tcPr>
          <w:p w14:paraId="4E7E8277" w14:textId="77777777" w:rsidR="005A67A8" w:rsidRPr="005A67A8" w:rsidRDefault="005A67A8" w:rsidP="005A67A8">
            <w:r w:rsidRPr="005A67A8">
              <w:t>8</w:t>
            </w:r>
          </w:p>
        </w:tc>
        <w:tc>
          <w:tcPr>
            <w:tcW w:w="960" w:type="dxa"/>
            <w:noWrap/>
            <w:hideMark/>
          </w:tcPr>
          <w:p w14:paraId="665FFB33" w14:textId="77777777" w:rsidR="005A67A8" w:rsidRPr="005A67A8" w:rsidRDefault="005A67A8" w:rsidP="005A67A8">
            <w:r w:rsidRPr="005A67A8">
              <w:t>5</w:t>
            </w:r>
          </w:p>
        </w:tc>
        <w:tc>
          <w:tcPr>
            <w:tcW w:w="960" w:type="dxa"/>
            <w:noWrap/>
            <w:hideMark/>
          </w:tcPr>
          <w:p w14:paraId="0B34C9EB" w14:textId="77777777" w:rsidR="005A67A8" w:rsidRPr="005A67A8" w:rsidRDefault="005A67A8" w:rsidP="005A67A8">
            <w:r w:rsidRPr="005A67A8">
              <w:t>10</w:t>
            </w:r>
          </w:p>
        </w:tc>
        <w:tc>
          <w:tcPr>
            <w:tcW w:w="960" w:type="dxa"/>
            <w:noWrap/>
            <w:hideMark/>
          </w:tcPr>
          <w:p w14:paraId="0332EF8D" w14:textId="77777777" w:rsidR="005A67A8" w:rsidRPr="005A67A8" w:rsidRDefault="005A67A8" w:rsidP="005A67A8">
            <w:r w:rsidRPr="005A67A8">
              <w:t>9</w:t>
            </w:r>
          </w:p>
        </w:tc>
      </w:tr>
      <w:tr w:rsidR="005A67A8" w:rsidRPr="005A67A8" w14:paraId="0FC687F7" w14:textId="77777777" w:rsidTr="005A67A8">
        <w:trPr>
          <w:trHeight w:val="210"/>
        </w:trPr>
        <w:tc>
          <w:tcPr>
            <w:tcW w:w="1780" w:type="dxa"/>
            <w:noWrap/>
            <w:hideMark/>
          </w:tcPr>
          <w:p w14:paraId="6AB36BB1" w14:textId="77777777" w:rsidR="005A67A8" w:rsidRPr="005A67A8" w:rsidRDefault="005A67A8">
            <w:r w:rsidRPr="005A67A8">
              <w:t>E01025075</w:t>
            </w:r>
          </w:p>
        </w:tc>
        <w:tc>
          <w:tcPr>
            <w:tcW w:w="1560" w:type="dxa"/>
            <w:noWrap/>
            <w:hideMark/>
          </w:tcPr>
          <w:p w14:paraId="00374909" w14:textId="77777777" w:rsidR="005A67A8" w:rsidRPr="005A67A8" w:rsidRDefault="005A67A8">
            <w:r w:rsidRPr="005A67A8">
              <w:t>Hyndburn 007B</w:t>
            </w:r>
          </w:p>
        </w:tc>
        <w:tc>
          <w:tcPr>
            <w:tcW w:w="1200" w:type="dxa"/>
            <w:noWrap/>
            <w:hideMark/>
          </w:tcPr>
          <w:p w14:paraId="63F988AD" w14:textId="77777777" w:rsidR="005A67A8" w:rsidRPr="005A67A8" w:rsidRDefault="005A67A8">
            <w:r w:rsidRPr="005A67A8">
              <w:t>St Andrews</w:t>
            </w:r>
          </w:p>
        </w:tc>
        <w:tc>
          <w:tcPr>
            <w:tcW w:w="960" w:type="dxa"/>
            <w:noWrap/>
            <w:hideMark/>
          </w:tcPr>
          <w:p w14:paraId="76FD4DB5" w14:textId="77777777" w:rsidR="005A67A8" w:rsidRPr="005A67A8" w:rsidRDefault="005A67A8" w:rsidP="005A67A8">
            <w:r w:rsidRPr="005A67A8">
              <w:t>2</w:t>
            </w:r>
          </w:p>
        </w:tc>
        <w:tc>
          <w:tcPr>
            <w:tcW w:w="960" w:type="dxa"/>
            <w:noWrap/>
            <w:hideMark/>
          </w:tcPr>
          <w:p w14:paraId="6E9B0074" w14:textId="77777777" w:rsidR="005A67A8" w:rsidRPr="005A67A8" w:rsidRDefault="005A67A8" w:rsidP="005A67A8">
            <w:r w:rsidRPr="005A67A8">
              <w:t>3</w:t>
            </w:r>
          </w:p>
        </w:tc>
        <w:tc>
          <w:tcPr>
            <w:tcW w:w="960" w:type="dxa"/>
            <w:noWrap/>
            <w:hideMark/>
          </w:tcPr>
          <w:p w14:paraId="4B6D4AF7" w14:textId="77777777" w:rsidR="005A67A8" w:rsidRPr="005A67A8" w:rsidRDefault="005A67A8" w:rsidP="005A67A8">
            <w:r w:rsidRPr="005A67A8">
              <w:t>2</w:t>
            </w:r>
          </w:p>
        </w:tc>
        <w:tc>
          <w:tcPr>
            <w:tcW w:w="960" w:type="dxa"/>
            <w:noWrap/>
            <w:hideMark/>
          </w:tcPr>
          <w:p w14:paraId="3AE1C411" w14:textId="77777777" w:rsidR="005A67A8" w:rsidRPr="005A67A8" w:rsidRDefault="005A67A8" w:rsidP="005A67A8">
            <w:r w:rsidRPr="005A67A8">
              <w:t>3</w:t>
            </w:r>
          </w:p>
        </w:tc>
        <w:tc>
          <w:tcPr>
            <w:tcW w:w="960" w:type="dxa"/>
            <w:noWrap/>
            <w:hideMark/>
          </w:tcPr>
          <w:p w14:paraId="022B8DF5" w14:textId="77777777" w:rsidR="005A67A8" w:rsidRPr="005A67A8" w:rsidRDefault="005A67A8" w:rsidP="005A67A8">
            <w:r w:rsidRPr="005A67A8">
              <w:t>1</w:t>
            </w:r>
          </w:p>
        </w:tc>
        <w:tc>
          <w:tcPr>
            <w:tcW w:w="960" w:type="dxa"/>
            <w:noWrap/>
            <w:hideMark/>
          </w:tcPr>
          <w:p w14:paraId="5BF191F2" w14:textId="77777777" w:rsidR="005A67A8" w:rsidRPr="005A67A8" w:rsidRDefault="005A67A8" w:rsidP="005A67A8">
            <w:r w:rsidRPr="005A67A8">
              <w:t>1</w:t>
            </w:r>
          </w:p>
        </w:tc>
        <w:tc>
          <w:tcPr>
            <w:tcW w:w="960" w:type="dxa"/>
            <w:noWrap/>
            <w:hideMark/>
          </w:tcPr>
          <w:p w14:paraId="5D78D59E" w14:textId="77777777" w:rsidR="005A67A8" w:rsidRPr="005A67A8" w:rsidRDefault="005A67A8" w:rsidP="005A67A8">
            <w:r w:rsidRPr="005A67A8">
              <w:t>8</w:t>
            </w:r>
          </w:p>
        </w:tc>
        <w:tc>
          <w:tcPr>
            <w:tcW w:w="960" w:type="dxa"/>
            <w:noWrap/>
            <w:hideMark/>
          </w:tcPr>
          <w:p w14:paraId="7FA80408" w14:textId="77777777" w:rsidR="005A67A8" w:rsidRPr="005A67A8" w:rsidRDefault="005A67A8" w:rsidP="005A67A8">
            <w:r w:rsidRPr="005A67A8">
              <w:t>1</w:t>
            </w:r>
          </w:p>
        </w:tc>
        <w:tc>
          <w:tcPr>
            <w:tcW w:w="960" w:type="dxa"/>
            <w:noWrap/>
            <w:hideMark/>
          </w:tcPr>
          <w:p w14:paraId="6BAFADDA" w14:textId="77777777" w:rsidR="005A67A8" w:rsidRPr="005A67A8" w:rsidRDefault="005A67A8" w:rsidP="005A67A8">
            <w:r w:rsidRPr="005A67A8">
              <w:t>3</w:t>
            </w:r>
          </w:p>
        </w:tc>
        <w:tc>
          <w:tcPr>
            <w:tcW w:w="960" w:type="dxa"/>
            <w:noWrap/>
            <w:hideMark/>
          </w:tcPr>
          <w:p w14:paraId="4DAD6347" w14:textId="77777777" w:rsidR="005A67A8" w:rsidRPr="005A67A8" w:rsidRDefault="005A67A8" w:rsidP="005A67A8">
            <w:r w:rsidRPr="005A67A8">
              <w:t>4</w:t>
            </w:r>
          </w:p>
        </w:tc>
      </w:tr>
      <w:tr w:rsidR="005A67A8" w:rsidRPr="005A67A8" w14:paraId="6C2150C0" w14:textId="77777777" w:rsidTr="005A67A8">
        <w:trPr>
          <w:trHeight w:val="210"/>
        </w:trPr>
        <w:tc>
          <w:tcPr>
            <w:tcW w:w="1780" w:type="dxa"/>
            <w:noWrap/>
            <w:hideMark/>
          </w:tcPr>
          <w:p w14:paraId="4E5ADB28" w14:textId="77777777" w:rsidR="005A67A8" w:rsidRPr="005A67A8" w:rsidRDefault="005A67A8">
            <w:r w:rsidRPr="005A67A8">
              <w:t>E01025076</w:t>
            </w:r>
          </w:p>
        </w:tc>
        <w:tc>
          <w:tcPr>
            <w:tcW w:w="1560" w:type="dxa"/>
            <w:noWrap/>
            <w:hideMark/>
          </w:tcPr>
          <w:p w14:paraId="0E9671DD" w14:textId="77777777" w:rsidR="005A67A8" w:rsidRPr="005A67A8" w:rsidRDefault="005A67A8">
            <w:r w:rsidRPr="005A67A8">
              <w:t>Hyndburn 007C</w:t>
            </w:r>
          </w:p>
        </w:tc>
        <w:tc>
          <w:tcPr>
            <w:tcW w:w="1200" w:type="dxa"/>
            <w:noWrap/>
            <w:hideMark/>
          </w:tcPr>
          <w:p w14:paraId="3C9AE714" w14:textId="77777777" w:rsidR="005A67A8" w:rsidRPr="005A67A8" w:rsidRDefault="005A67A8">
            <w:r w:rsidRPr="005A67A8">
              <w:t>St Andrews</w:t>
            </w:r>
          </w:p>
        </w:tc>
        <w:tc>
          <w:tcPr>
            <w:tcW w:w="960" w:type="dxa"/>
            <w:noWrap/>
            <w:hideMark/>
          </w:tcPr>
          <w:p w14:paraId="1D9FC229" w14:textId="77777777" w:rsidR="005A67A8" w:rsidRPr="005A67A8" w:rsidRDefault="005A67A8" w:rsidP="005A67A8">
            <w:r w:rsidRPr="005A67A8">
              <w:t>3</w:t>
            </w:r>
          </w:p>
        </w:tc>
        <w:tc>
          <w:tcPr>
            <w:tcW w:w="960" w:type="dxa"/>
            <w:noWrap/>
            <w:hideMark/>
          </w:tcPr>
          <w:p w14:paraId="14E854D9" w14:textId="77777777" w:rsidR="005A67A8" w:rsidRPr="005A67A8" w:rsidRDefault="005A67A8" w:rsidP="005A67A8">
            <w:r w:rsidRPr="005A67A8">
              <w:t>3</w:t>
            </w:r>
          </w:p>
        </w:tc>
        <w:tc>
          <w:tcPr>
            <w:tcW w:w="960" w:type="dxa"/>
            <w:noWrap/>
            <w:hideMark/>
          </w:tcPr>
          <w:p w14:paraId="300BB3EB" w14:textId="77777777" w:rsidR="005A67A8" w:rsidRPr="005A67A8" w:rsidRDefault="005A67A8" w:rsidP="005A67A8">
            <w:r w:rsidRPr="005A67A8">
              <w:t>3</w:t>
            </w:r>
          </w:p>
        </w:tc>
        <w:tc>
          <w:tcPr>
            <w:tcW w:w="960" w:type="dxa"/>
            <w:noWrap/>
            <w:hideMark/>
          </w:tcPr>
          <w:p w14:paraId="4C0202DB" w14:textId="77777777" w:rsidR="005A67A8" w:rsidRPr="005A67A8" w:rsidRDefault="005A67A8" w:rsidP="005A67A8">
            <w:r w:rsidRPr="005A67A8">
              <w:t>5</w:t>
            </w:r>
          </w:p>
        </w:tc>
        <w:tc>
          <w:tcPr>
            <w:tcW w:w="960" w:type="dxa"/>
            <w:noWrap/>
            <w:hideMark/>
          </w:tcPr>
          <w:p w14:paraId="04346627" w14:textId="77777777" w:rsidR="005A67A8" w:rsidRPr="005A67A8" w:rsidRDefault="005A67A8" w:rsidP="005A67A8">
            <w:r w:rsidRPr="005A67A8">
              <w:t>2</w:t>
            </w:r>
          </w:p>
        </w:tc>
        <w:tc>
          <w:tcPr>
            <w:tcW w:w="960" w:type="dxa"/>
            <w:noWrap/>
            <w:hideMark/>
          </w:tcPr>
          <w:p w14:paraId="693F8A6E" w14:textId="77777777" w:rsidR="005A67A8" w:rsidRPr="005A67A8" w:rsidRDefault="005A67A8" w:rsidP="005A67A8">
            <w:r w:rsidRPr="005A67A8">
              <w:t>2</w:t>
            </w:r>
          </w:p>
        </w:tc>
        <w:tc>
          <w:tcPr>
            <w:tcW w:w="960" w:type="dxa"/>
            <w:noWrap/>
            <w:hideMark/>
          </w:tcPr>
          <w:p w14:paraId="45AE9ADE" w14:textId="77777777" w:rsidR="005A67A8" w:rsidRPr="005A67A8" w:rsidRDefault="005A67A8" w:rsidP="005A67A8">
            <w:r w:rsidRPr="005A67A8">
              <w:t>8</w:t>
            </w:r>
          </w:p>
        </w:tc>
        <w:tc>
          <w:tcPr>
            <w:tcW w:w="960" w:type="dxa"/>
            <w:noWrap/>
            <w:hideMark/>
          </w:tcPr>
          <w:p w14:paraId="5678089E" w14:textId="77777777" w:rsidR="005A67A8" w:rsidRPr="005A67A8" w:rsidRDefault="005A67A8" w:rsidP="005A67A8">
            <w:r w:rsidRPr="005A67A8">
              <w:t>2</w:t>
            </w:r>
          </w:p>
        </w:tc>
        <w:tc>
          <w:tcPr>
            <w:tcW w:w="960" w:type="dxa"/>
            <w:noWrap/>
            <w:hideMark/>
          </w:tcPr>
          <w:p w14:paraId="55EF8AA9" w14:textId="77777777" w:rsidR="005A67A8" w:rsidRPr="005A67A8" w:rsidRDefault="005A67A8" w:rsidP="005A67A8">
            <w:r w:rsidRPr="005A67A8">
              <w:t>2</w:t>
            </w:r>
          </w:p>
        </w:tc>
        <w:tc>
          <w:tcPr>
            <w:tcW w:w="960" w:type="dxa"/>
            <w:noWrap/>
            <w:hideMark/>
          </w:tcPr>
          <w:p w14:paraId="61A7597F" w14:textId="77777777" w:rsidR="005A67A8" w:rsidRPr="005A67A8" w:rsidRDefault="005A67A8" w:rsidP="005A67A8">
            <w:r w:rsidRPr="005A67A8">
              <w:t>3</w:t>
            </w:r>
          </w:p>
        </w:tc>
      </w:tr>
      <w:tr w:rsidR="005A67A8" w:rsidRPr="005A67A8" w14:paraId="0D781ADE" w14:textId="77777777" w:rsidTr="005A67A8">
        <w:trPr>
          <w:trHeight w:val="210"/>
        </w:trPr>
        <w:tc>
          <w:tcPr>
            <w:tcW w:w="1780" w:type="dxa"/>
            <w:noWrap/>
            <w:hideMark/>
          </w:tcPr>
          <w:p w14:paraId="5523BA01" w14:textId="77777777" w:rsidR="005A67A8" w:rsidRPr="005A67A8" w:rsidRDefault="005A67A8">
            <w:r w:rsidRPr="005A67A8">
              <w:lastRenderedPageBreak/>
              <w:t>E01025077</w:t>
            </w:r>
          </w:p>
        </w:tc>
        <w:tc>
          <w:tcPr>
            <w:tcW w:w="1560" w:type="dxa"/>
            <w:noWrap/>
            <w:hideMark/>
          </w:tcPr>
          <w:p w14:paraId="56A393B3" w14:textId="77777777" w:rsidR="005A67A8" w:rsidRPr="005A67A8" w:rsidRDefault="005A67A8">
            <w:r w:rsidRPr="005A67A8">
              <w:t>Hyndburn 007D</w:t>
            </w:r>
          </w:p>
        </w:tc>
        <w:tc>
          <w:tcPr>
            <w:tcW w:w="1200" w:type="dxa"/>
            <w:noWrap/>
            <w:hideMark/>
          </w:tcPr>
          <w:p w14:paraId="5C6623F9" w14:textId="77777777" w:rsidR="005A67A8" w:rsidRPr="005A67A8" w:rsidRDefault="005A67A8">
            <w:r w:rsidRPr="005A67A8">
              <w:t>St Andrews</w:t>
            </w:r>
          </w:p>
        </w:tc>
        <w:tc>
          <w:tcPr>
            <w:tcW w:w="960" w:type="dxa"/>
            <w:noWrap/>
            <w:hideMark/>
          </w:tcPr>
          <w:p w14:paraId="557F0184" w14:textId="77777777" w:rsidR="005A67A8" w:rsidRPr="005A67A8" w:rsidRDefault="005A67A8" w:rsidP="005A67A8">
            <w:r w:rsidRPr="005A67A8">
              <w:t>2</w:t>
            </w:r>
          </w:p>
        </w:tc>
        <w:tc>
          <w:tcPr>
            <w:tcW w:w="960" w:type="dxa"/>
            <w:noWrap/>
            <w:hideMark/>
          </w:tcPr>
          <w:p w14:paraId="0469FAAD" w14:textId="77777777" w:rsidR="005A67A8" w:rsidRPr="005A67A8" w:rsidRDefault="005A67A8" w:rsidP="005A67A8">
            <w:r w:rsidRPr="005A67A8">
              <w:t>2</w:t>
            </w:r>
          </w:p>
        </w:tc>
        <w:tc>
          <w:tcPr>
            <w:tcW w:w="960" w:type="dxa"/>
            <w:noWrap/>
            <w:hideMark/>
          </w:tcPr>
          <w:p w14:paraId="70C26A87" w14:textId="77777777" w:rsidR="005A67A8" w:rsidRPr="005A67A8" w:rsidRDefault="005A67A8" w:rsidP="005A67A8">
            <w:r w:rsidRPr="005A67A8">
              <w:t>2</w:t>
            </w:r>
          </w:p>
        </w:tc>
        <w:tc>
          <w:tcPr>
            <w:tcW w:w="960" w:type="dxa"/>
            <w:noWrap/>
            <w:hideMark/>
          </w:tcPr>
          <w:p w14:paraId="6D7DB946" w14:textId="77777777" w:rsidR="005A67A8" w:rsidRPr="005A67A8" w:rsidRDefault="005A67A8" w:rsidP="005A67A8">
            <w:r w:rsidRPr="005A67A8">
              <w:t>3</w:t>
            </w:r>
          </w:p>
        </w:tc>
        <w:tc>
          <w:tcPr>
            <w:tcW w:w="960" w:type="dxa"/>
            <w:noWrap/>
            <w:hideMark/>
          </w:tcPr>
          <w:p w14:paraId="0B399291" w14:textId="77777777" w:rsidR="005A67A8" w:rsidRPr="005A67A8" w:rsidRDefault="005A67A8" w:rsidP="005A67A8">
            <w:r w:rsidRPr="005A67A8">
              <w:t>1</w:t>
            </w:r>
          </w:p>
        </w:tc>
        <w:tc>
          <w:tcPr>
            <w:tcW w:w="960" w:type="dxa"/>
            <w:noWrap/>
            <w:hideMark/>
          </w:tcPr>
          <w:p w14:paraId="3AB879F3" w14:textId="77777777" w:rsidR="005A67A8" w:rsidRPr="005A67A8" w:rsidRDefault="005A67A8" w:rsidP="005A67A8">
            <w:r w:rsidRPr="005A67A8">
              <w:t>3</w:t>
            </w:r>
          </w:p>
        </w:tc>
        <w:tc>
          <w:tcPr>
            <w:tcW w:w="960" w:type="dxa"/>
            <w:noWrap/>
            <w:hideMark/>
          </w:tcPr>
          <w:p w14:paraId="522B3EBC" w14:textId="77777777" w:rsidR="005A67A8" w:rsidRPr="005A67A8" w:rsidRDefault="005A67A8" w:rsidP="005A67A8">
            <w:r w:rsidRPr="005A67A8">
              <w:t>6</w:t>
            </w:r>
          </w:p>
        </w:tc>
        <w:tc>
          <w:tcPr>
            <w:tcW w:w="960" w:type="dxa"/>
            <w:noWrap/>
            <w:hideMark/>
          </w:tcPr>
          <w:p w14:paraId="60129BDF" w14:textId="77777777" w:rsidR="005A67A8" w:rsidRPr="005A67A8" w:rsidRDefault="005A67A8" w:rsidP="005A67A8">
            <w:r w:rsidRPr="005A67A8">
              <w:t>3</w:t>
            </w:r>
          </w:p>
        </w:tc>
        <w:tc>
          <w:tcPr>
            <w:tcW w:w="960" w:type="dxa"/>
            <w:noWrap/>
            <w:hideMark/>
          </w:tcPr>
          <w:p w14:paraId="44F2913A" w14:textId="77777777" w:rsidR="005A67A8" w:rsidRPr="005A67A8" w:rsidRDefault="005A67A8" w:rsidP="005A67A8">
            <w:r w:rsidRPr="005A67A8">
              <w:t>3</w:t>
            </w:r>
          </w:p>
        </w:tc>
        <w:tc>
          <w:tcPr>
            <w:tcW w:w="960" w:type="dxa"/>
            <w:noWrap/>
            <w:hideMark/>
          </w:tcPr>
          <w:p w14:paraId="28BA4865" w14:textId="77777777" w:rsidR="005A67A8" w:rsidRPr="005A67A8" w:rsidRDefault="005A67A8" w:rsidP="005A67A8">
            <w:r w:rsidRPr="005A67A8">
              <w:t>2</w:t>
            </w:r>
          </w:p>
        </w:tc>
      </w:tr>
      <w:tr w:rsidR="005A67A8" w:rsidRPr="005A67A8" w14:paraId="13ACD234" w14:textId="77777777" w:rsidTr="005A67A8">
        <w:trPr>
          <w:trHeight w:val="210"/>
        </w:trPr>
        <w:tc>
          <w:tcPr>
            <w:tcW w:w="1780" w:type="dxa"/>
            <w:noWrap/>
            <w:hideMark/>
          </w:tcPr>
          <w:p w14:paraId="53AB77C3" w14:textId="77777777" w:rsidR="005A67A8" w:rsidRPr="005A67A8" w:rsidRDefault="005A67A8">
            <w:r w:rsidRPr="005A67A8">
              <w:t>E01025078</w:t>
            </w:r>
          </w:p>
        </w:tc>
        <w:tc>
          <w:tcPr>
            <w:tcW w:w="1560" w:type="dxa"/>
            <w:noWrap/>
            <w:hideMark/>
          </w:tcPr>
          <w:p w14:paraId="741E47C2" w14:textId="77777777" w:rsidR="005A67A8" w:rsidRPr="005A67A8" w:rsidRDefault="005A67A8">
            <w:r w:rsidRPr="005A67A8">
              <w:t>Hyndburn 007E</w:t>
            </w:r>
          </w:p>
        </w:tc>
        <w:tc>
          <w:tcPr>
            <w:tcW w:w="1200" w:type="dxa"/>
            <w:noWrap/>
            <w:hideMark/>
          </w:tcPr>
          <w:p w14:paraId="48B3C819" w14:textId="77777777" w:rsidR="005A67A8" w:rsidRPr="005A67A8" w:rsidRDefault="005A67A8">
            <w:r w:rsidRPr="005A67A8">
              <w:t>St Oswalds</w:t>
            </w:r>
          </w:p>
        </w:tc>
        <w:tc>
          <w:tcPr>
            <w:tcW w:w="960" w:type="dxa"/>
            <w:noWrap/>
            <w:hideMark/>
          </w:tcPr>
          <w:p w14:paraId="34105334" w14:textId="77777777" w:rsidR="005A67A8" w:rsidRPr="005A67A8" w:rsidRDefault="005A67A8" w:rsidP="005A67A8">
            <w:r w:rsidRPr="005A67A8">
              <w:t>8</w:t>
            </w:r>
          </w:p>
        </w:tc>
        <w:tc>
          <w:tcPr>
            <w:tcW w:w="960" w:type="dxa"/>
            <w:noWrap/>
            <w:hideMark/>
          </w:tcPr>
          <w:p w14:paraId="7154CFD9" w14:textId="77777777" w:rsidR="005A67A8" w:rsidRPr="005A67A8" w:rsidRDefault="005A67A8" w:rsidP="005A67A8">
            <w:r w:rsidRPr="005A67A8">
              <w:t>8</w:t>
            </w:r>
          </w:p>
        </w:tc>
        <w:tc>
          <w:tcPr>
            <w:tcW w:w="960" w:type="dxa"/>
            <w:noWrap/>
            <w:hideMark/>
          </w:tcPr>
          <w:p w14:paraId="5DB6AF7E" w14:textId="77777777" w:rsidR="005A67A8" w:rsidRPr="005A67A8" w:rsidRDefault="005A67A8" w:rsidP="005A67A8">
            <w:r w:rsidRPr="005A67A8">
              <w:t>8</w:t>
            </w:r>
          </w:p>
        </w:tc>
        <w:tc>
          <w:tcPr>
            <w:tcW w:w="960" w:type="dxa"/>
            <w:noWrap/>
            <w:hideMark/>
          </w:tcPr>
          <w:p w14:paraId="447751C2" w14:textId="77777777" w:rsidR="005A67A8" w:rsidRPr="005A67A8" w:rsidRDefault="005A67A8" w:rsidP="005A67A8">
            <w:r w:rsidRPr="005A67A8">
              <w:t>7</w:t>
            </w:r>
          </w:p>
        </w:tc>
        <w:tc>
          <w:tcPr>
            <w:tcW w:w="960" w:type="dxa"/>
            <w:noWrap/>
            <w:hideMark/>
          </w:tcPr>
          <w:p w14:paraId="30886947" w14:textId="77777777" w:rsidR="005A67A8" w:rsidRPr="005A67A8" w:rsidRDefault="005A67A8" w:rsidP="005A67A8">
            <w:r w:rsidRPr="005A67A8">
              <w:t>4</w:t>
            </w:r>
          </w:p>
        </w:tc>
        <w:tc>
          <w:tcPr>
            <w:tcW w:w="960" w:type="dxa"/>
            <w:noWrap/>
            <w:hideMark/>
          </w:tcPr>
          <w:p w14:paraId="7C3B8E8C" w14:textId="77777777" w:rsidR="005A67A8" w:rsidRPr="005A67A8" w:rsidRDefault="005A67A8" w:rsidP="005A67A8">
            <w:r w:rsidRPr="005A67A8">
              <w:t>7</w:t>
            </w:r>
          </w:p>
        </w:tc>
        <w:tc>
          <w:tcPr>
            <w:tcW w:w="960" w:type="dxa"/>
            <w:noWrap/>
            <w:hideMark/>
          </w:tcPr>
          <w:p w14:paraId="13D89530" w14:textId="77777777" w:rsidR="005A67A8" w:rsidRPr="005A67A8" w:rsidRDefault="005A67A8" w:rsidP="005A67A8">
            <w:r w:rsidRPr="005A67A8">
              <w:t>7</w:t>
            </w:r>
          </w:p>
        </w:tc>
        <w:tc>
          <w:tcPr>
            <w:tcW w:w="960" w:type="dxa"/>
            <w:noWrap/>
            <w:hideMark/>
          </w:tcPr>
          <w:p w14:paraId="76DFFD85" w14:textId="77777777" w:rsidR="005A67A8" w:rsidRPr="005A67A8" w:rsidRDefault="005A67A8" w:rsidP="005A67A8">
            <w:r w:rsidRPr="005A67A8">
              <w:t>5</w:t>
            </w:r>
          </w:p>
        </w:tc>
        <w:tc>
          <w:tcPr>
            <w:tcW w:w="960" w:type="dxa"/>
            <w:noWrap/>
            <w:hideMark/>
          </w:tcPr>
          <w:p w14:paraId="0A0DC22B" w14:textId="77777777" w:rsidR="005A67A8" w:rsidRPr="005A67A8" w:rsidRDefault="005A67A8" w:rsidP="005A67A8">
            <w:r w:rsidRPr="005A67A8">
              <w:t>7</w:t>
            </w:r>
          </w:p>
        </w:tc>
        <w:tc>
          <w:tcPr>
            <w:tcW w:w="960" w:type="dxa"/>
            <w:noWrap/>
            <w:hideMark/>
          </w:tcPr>
          <w:p w14:paraId="4CDE9FFF" w14:textId="77777777" w:rsidR="005A67A8" w:rsidRPr="005A67A8" w:rsidRDefault="005A67A8" w:rsidP="005A67A8">
            <w:r w:rsidRPr="005A67A8">
              <w:t>8</w:t>
            </w:r>
          </w:p>
        </w:tc>
      </w:tr>
      <w:tr w:rsidR="005A67A8" w:rsidRPr="005A67A8" w14:paraId="10087096" w14:textId="77777777" w:rsidTr="005A67A8">
        <w:trPr>
          <w:trHeight w:val="210"/>
        </w:trPr>
        <w:tc>
          <w:tcPr>
            <w:tcW w:w="1780" w:type="dxa"/>
            <w:noWrap/>
            <w:hideMark/>
          </w:tcPr>
          <w:p w14:paraId="6808E330" w14:textId="77777777" w:rsidR="005A67A8" w:rsidRPr="005A67A8" w:rsidRDefault="005A67A8">
            <w:r w:rsidRPr="005A67A8">
              <w:t>E01025079</w:t>
            </w:r>
          </w:p>
        </w:tc>
        <w:tc>
          <w:tcPr>
            <w:tcW w:w="1560" w:type="dxa"/>
            <w:noWrap/>
            <w:hideMark/>
          </w:tcPr>
          <w:p w14:paraId="3800A186" w14:textId="77777777" w:rsidR="005A67A8" w:rsidRPr="005A67A8" w:rsidRDefault="005A67A8">
            <w:r w:rsidRPr="005A67A8">
              <w:t>Hyndburn 009C</w:t>
            </w:r>
          </w:p>
        </w:tc>
        <w:tc>
          <w:tcPr>
            <w:tcW w:w="1200" w:type="dxa"/>
            <w:noWrap/>
            <w:hideMark/>
          </w:tcPr>
          <w:p w14:paraId="0B41598A" w14:textId="77777777" w:rsidR="005A67A8" w:rsidRPr="005A67A8" w:rsidRDefault="005A67A8">
            <w:r w:rsidRPr="005A67A8">
              <w:t>St Oswalds</w:t>
            </w:r>
          </w:p>
        </w:tc>
        <w:tc>
          <w:tcPr>
            <w:tcW w:w="960" w:type="dxa"/>
            <w:noWrap/>
            <w:hideMark/>
          </w:tcPr>
          <w:p w14:paraId="6514BE06" w14:textId="77777777" w:rsidR="005A67A8" w:rsidRPr="005A67A8" w:rsidRDefault="005A67A8" w:rsidP="005A67A8">
            <w:r w:rsidRPr="005A67A8">
              <w:t>6</w:t>
            </w:r>
          </w:p>
        </w:tc>
        <w:tc>
          <w:tcPr>
            <w:tcW w:w="960" w:type="dxa"/>
            <w:noWrap/>
            <w:hideMark/>
          </w:tcPr>
          <w:p w14:paraId="67CAE38A" w14:textId="77777777" w:rsidR="005A67A8" w:rsidRPr="005A67A8" w:rsidRDefault="005A67A8" w:rsidP="005A67A8">
            <w:r w:rsidRPr="005A67A8">
              <w:t>6</w:t>
            </w:r>
          </w:p>
        </w:tc>
        <w:tc>
          <w:tcPr>
            <w:tcW w:w="960" w:type="dxa"/>
            <w:noWrap/>
            <w:hideMark/>
          </w:tcPr>
          <w:p w14:paraId="6D880C88" w14:textId="77777777" w:rsidR="005A67A8" w:rsidRPr="005A67A8" w:rsidRDefault="005A67A8" w:rsidP="005A67A8">
            <w:r w:rsidRPr="005A67A8">
              <w:t>6</w:t>
            </w:r>
          </w:p>
        </w:tc>
        <w:tc>
          <w:tcPr>
            <w:tcW w:w="960" w:type="dxa"/>
            <w:noWrap/>
            <w:hideMark/>
          </w:tcPr>
          <w:p w14:paraId="1755B0B9" w14:textId="77777777" w:rsidR="005A67A8" w:rsidRPr="005A67A8" w:rsidRDefault="005A67A8" w:rsidP="005A67A8">
            <w:r w:rsidRPr="005A67A8">
              <w:t>4</w:t>
            </w:r>
          </w:p>
        </w:tc>
        <w:tc>
          <w:tcPr>
            <w:tcW w:w="960" w:type="dxa"/>
            <w:noWrap/>
            <w:hideMark/>
          </w:tcPr>
          <w:p w14:paraId="4D6971AA" w14:textId="77777777" w:rsidR="005A67A8" w:rsidRPr="005A67A8" w:rsidRDefault="005A67A8" w:rsidP="005A67A8">
            <w:r w:rsidRPr="005A67A8">
              <w:t>4</w:t>
            </w:r>
          </w:p>
        </w:tc>
        <w:tc>
          <w:tcPr>
            <w:tcW w:w="960" w:type="dxa"/>
            <w:noWrap/>
            <w:hideMark/>
          </w:tcPr>
          <w:p w14:paraId="613A5308" w14:textId="77777777" w:rsidR="005A67A8" w:rsidRPr="005A67A8" w:rsidRDefault="005A67A8" w:rsidP="005A67A8">
            <w:r w:rsidRPr="005A67A8">
              <w:t>8</w:t>
            </w:r>
          </w:p>
        </w:tc>
        <w:tc>
          <w:tcPr>
            <w:tcW w:w="960" w:type="dxa"/>
            <w:noWrap/>
            <w:hideMark/>
          </w:tcPr>
          <w:p w14:paraId="159056AA" w14:textId="77777777" w:rsidR="005A67A8" w:rsidRPr="005A67A8" w:rsidRDefault="005A67A8" w:rsidP="005A67A8">
            <w:r w:rsidRPr="005A67A8">
              <w:t>5</w:t>
            </w:r>
          </w:p>
        </w:tc>
        <w:tc>
          <w:tcPr>
            <w:tcW w:w="960" w:type="dxa"/>
            <w:noWrap/>
            <w:hideMark/>
          </w:tcPr>
          <w:p w14:paraId="5D597BCB" w14:textId="77777777" w:rsidR="005A67A8" w:rsidRPr="005A67A8" w:rsidRDefault="005A67A8" w:rsidP="005A67A8">
            <w:r w:rsidRPr="005A67A8">
              <w:t>7</w:t>
            </w:r>
          </w:p>
        </w:tc>
        <w:tc>
          <w:tcPr>
            <w:tcW w:w="960" w:type="dxa"/>
            <w:noWrap/>
            <w:hideMark/>
          </w:tcPr>
          <w:p w14:paraId="4CEEF1E3" w14:textId="77777777" w:rsidR="005A67A8" w:rsidRPr="005A67A8" w:rsidRDefault="005A67A8" w:rsidP="005A67A8">
            <w:r w:rsidRPr="005A67A8">
              <w:t>6</w:t>
            </w:r>
          </w:p>
        </w:tc>
        <w:tc>
          <w:tcPr>
            <w:tcW w:w="960" w:type="dxa"/>
            <w:noWrap/>
            <w:hideMark/>
          </w:tcPr>
          <w:p w14:paraId="05C274D3" w14:textId="77777777" w:rsidR="005A67A8" w:rsidRPr="005A67A8" w:rsidRDefault="005A67A8" w:rsidP="005A67A8">
            <w:r w:rsidRPr="005A67A8">
              <w:t>8</w:t>
            </w:r>
          </w:p>
        </w:tc>
      </w:tr>
      <w:tr w:rsidR="005A67A8" w:rsidRPr="005A67A8" w14:paraId="07C99616" w14:textId="77777777" w:rsidTr="005A67A8">
        <w:trPr>
          <w:trHeight w:val="210"/>
        </w:trPr>
        <w:tc>
          <w:tcPr>
            <w:tcW w:w="1780" w:type="dxa"/>
            <w:noWrap/>
            <w:hideMark/>
          </w:tcPr>
          <w:p w14:paraId="2ED3EB3B" w14:textId="77777777" w:rsidR="005A67A8" w:rsidRPr="005A67A8" w:rsidRDefault="005A67A8">
            <w:r w:rsidRPr="005A67A8">
              <w:t>E01025080</w:t>
            </w:r>
          </w:p>
        </w:tc>
        <w:tc>
          <w:tcPr>
            <w:tcW w:w="1560" w:type="dxa"/>
            <w:noWrap/>
            <w:hideMark/>
          </w:tcPr>
          <w:p w14:paraId="12F40DE1" w14:textId="77777777" w:rsidR="005A67A8" w:rsidRPr="005A67A8" w:rsidRDefault="005A67A8">
            <w:r w:rsidRPr="005A67A8">
              <w:t>Hyndburn 009D</w:t>
            </w:r>
          </w:p>
        </w:tc>
        <w:tc>
          <w:tcPr>
            <w:tcW w:w="1200" w:type="dxa"/>
            <w:noWrap/>
            <w:hideMark/>
          </w:tcPr>
          <w:p w14:paraId="37C5233E" w14:textId="77777777" w:rsidR="005A67A8" w:rsidRPr="005A67A8" w:rsidRDefault="005A67A8">
            <w:r w:rsidRPr="005A67A8">
              <w:t>St Oswalds</w:t>
            </w:r>
          </w:p>
        </w:tc>
        <w:tc>
          <w:tcPr>
            <w:tcW w:w="960" w:type="dxa"/>
            <w:noWrap/>
            <w:hideMark/>
          </w:tcPr>
          <w:p w14:paraId="20E5C556" w14:textId="77777777" w:rsidR="005A67A8" w:rsidRPr="005A67A8" w:rsidRDefault="005A67A8" w:rsidP="005A67A8">
            <w:r w:rsidRPr="005A67A8">
              <w:t>4</w:t>
            </w:r>
          </w:p>
        </w:tc>
        <w:tc>
          <w:tcPr>
            <w:tcW w:w="960" w:type="dxa"/>
            <w:noWrap/>
            <w:hideMark/>
          </w:tcPr>
          <w:p w14:paraId="29D0367B" w14:textId="77777777" w:rsidR="005A67A8" w:rsidRPr="005A67A8" w:rsidRDefault="005A67A8" w:rsidP="005A67A8">
            <w:r w:rsidRPr="005A67A8">
              <w:t>6</w:t>
            </w:r>
          </w:p>
        </w:tc>
        <w:tc>
          <w:tcPr>
            <w:tcW w:w="960" w:type="dxa"/>
            <w:noWrap/>
            <w:hideMark/>
          </w:tcPr>
          <w:p w14:paraId="33C6D60A" w14:textId="77777777" w:rsidR="005A67A8" w:rsidRPr="005A67A8" w:rsidRDefault="005A67A8" w:rsidP="005A67A8">
            <w:r w:rsidRPr="005A67A8">
              <w:t>6</w:t>
            </w:r>
          </w:p>
        </w:tc>
        <w:tc>
          <w:tcPr>
            <w:tcW w:w="960" w:type="dxa"/>
            <w:noWrap/>
            <w:hideMark/>
          </w:tcPr>
          <w:p w14:paraId="6E0E10CD" w14:textId="77777777" w:rsidR="005A67A8" w:rsidRPr="005A67A8" w:rsidRDefault="005A67A8" w:rsidP="005A67A8">
            <w:r w:rsidRPr="005A67A8">
              <w:t>5</w:t>
            </w:r>
          </w:p>
        </w:tc>
        <w:tc>
          <w:tcPr>
            <w:tcW w:w="960" w:type="dxa"/>
            <w:noWrap/>
            <w:hideMark/>
          </w:tcPr>
          <w:p w14:paraId="2CA77A24" w14:textId="77777777" w:rsidR="005A67A8" w:rsidRPr="005A67A8" w:rsidRDefault="005A67A8" w:rsidP="005A67A8">
            <w:r w:rsidRPr="005A67A8">
              <w:t>5</w:t>
            </w:r>
          </w:p>
        </w:tc>
        <w:tc>
          <w:tcPr>
            <w:tcW w:w="960" w:type="dxa"/>
            <w:noWrap/>
            <w:hideMark/>
          </w:tcPr>
          <w:p w14:paraId="30057FAF" w14:textId="77777777" w:rsidR="005A67A8" w:rsidRPr="005A67A8" w:rsidRDefault="005A67A8" w:rsidP="005A67A8">
            <w:r w:rsidRPr="005A67A8">
              <w:t>5</w:t>
            </w:r>
          </w:p>
        </w:tc>
        <w:tc>
          <w:tcPr>
            <w:tcW w:w="960" w:type="dxa"/>
            <w:noWrap/>
            <w:hideMark/>
          </w:tcPr>
          <w:p w14:paraId="5E0036C9" w14:textId="77777777" w:rsidR="005A67A8" w:rsidRPr="005A67A8" w:rsidRDefault="005A67A8" w:rsidP="005A67A8">
            <w:r w:rsidRPr="005A67A8">
              <w:t>3</w:t>
            </w:r>
          </w:p>
        </w:tc>
        <w:tc>
          <w:tcPr>
            <w:tcW w:w="960" w:type="dxa"/>
            <w:noWrap/>
            <w:hideMark/>
          </w:tcPr>
          <w:p w14:paraId="4942B188" w14:textId="77777777" w:rsidR="005A67A8" w:rsidRPr="005A67A8" w:rsidRDefault="005A67A8" w:rsidP="005A67A8">
            <w:r w:rsidRPr="005A67A8">
              <w:t>1</w:t>
            </w:r>
          </w:p>
        </w:tc>
        <w:tc>
          <w:tcPr>
            <w:tcW w:w="960" w:type="dxa"/>
            <w:noWrap/>
            <w:hideMark/>
          </w:tcPr>
          <w:p w14:paraId="1EA1998E" w14:textId="77777777" w:rsidR="005A67A8" w:rsidRPr="005A67A8" w:rsidRDefault="005A67A8" w:rsidP="005A67A8">
            <w:r w:rsidRPr="005A67A8">
              <w:t>5</w:t>
            </w:r>
          </w:p>
        </w:tc>
        <w:tc>
          <w:tcPr>
            <w:tcW w:w="960" w:type="dxa"/>
            <w:noWrap/>
            <w:hideMark/>
          </w:tcPr>
          <w:p w14:paraId="388CACAF" w14:textId="77777777" w:rsidR="005A67A8" w:rsidRPr="005A67A8" w:rsidRDefault="005A67A8" w:rsidP="005A67A8">
            <w:r w:rsidRPr="005A67A8">
              <w:t>7</w:t>
            </w:r>
          </w:p>
        </w:tc>
      </w:tr>
      <w:tr w:rsidR="005A67A8" w:rsidRPr="005A67A8" w14:paraId="072AD141" w14:textId="77777777" w:rsidTr="005A67A8">
        <w:trPr>
          <w:trHeight w:val="210"/>
        </w:trPr>
        <w:tc>
          <w:tcPr>
            <w:tcW w:w="1780" w:type="dxa"/>
            <w:noWrap/>
            <w:hideMark/>
          </w:tcPr>
          <w:p w14:paraId="5B8F7BAB" w14:textId="77777777" w:rsidR="005A67A8" w:rsidRPr="005A67A8" w:rsidRDefault="005A67A8">
            <w:r w:rsidRPr="005A67A8">
              <w:t>E01025081</w:t>
            </w:r>
          </w:p>
        </w:tc>
        <w:tc>
          <w:tcPr>
            <w:tcW w:w="1560" w:type="dxa"/>
            <w:noWrap/>
            <w:hideMark/>
          </w:tcPr>
          <w:p w14:paraId="2A88395F" w14:textId="77777777" w:rsidR="005A67A8" w:rsidRPr="005A67A8" w:rsidRDefault="005A67A8">
            <w:r w:rsidRPr="005A67A8">
              <w:t>Hyndburn 005D</w:t>
            </w:r>
          </w:p>
        </w:tc>
        <w:tc>
          <w:tcPr>
            <w:tcW w:w="1200" w:type="dxa"/>
            <w:noWrap/>
            <w:hideMark/>
          </w:tcPr>
          <w:p w14:paraId="470DBAB7" w14:textId="77777777" w:rsidR="005A67A8" w:rsidRPr="005A67A8" w:rsidRDefault="005A67A8">
            <w:r w:rsidRPr="005A67A8">
              <w:t>St Oswalds</w:t>
            </w:r>
          </w:p>
        </w:tc>
        <w:tc>
          <w:tcPr>
            <w:tcW w:w="960" w:type="dxa"/>
            <w:noWrap/>
            <w:hideMark/>
          </w:tcPr>
          <w:p w14:paraId="74C0EA13" w14:textId="77777777" w:rsidR="005A67A8" w:rsidRPr="005A67A8" w:rsidRDefault="005A67A8" w:rsidP="005A67A8">
            <w:r w:rsidRPr="005A67A8">
              <w:t>6</w:t>
            </w:r>
          </w:p>
        </w:tc>
        <w:tc>
          <w:tcPr>
            <w:tcW w:w="960" w:type="dxa"/>
            <w:noWrap/>
            <w:hideMark/>
          </w:tcPr>
          <w:p w14:paraId="27E0D4D0" w14:textId="77777777" w:rsidR="005A67A8" w:rsidRPr="005A67A8" w:rsidRDefault="005A67A8" w:rsidP="005A67A8">
            <w:r w:rsidRPr="005A67A8">
              <w:t>7</w:t>
            </w:r>
          </w:p>
        </w:tc>
        <w:tc>
          <w:tcPr>
            <w:tcW w:w="960" w:type="dxa"/>
            <w:noWrap/>
            <w:hideMark/>
          </w:tcPr>
          <w:p w14:paraId="7750F76A" w14:textId="77777777" w:rsidR="005A67A8" w:rsidRPr="005A67A8" w:rsidRDefault="005A67A8" w:rsidP="005A67A8">
            <w:r w:rsidRPr="005A67A8">
              <w:t>6</w:t>
            </w:r>
          </w:p>
        </w:tc>
        <w:tc>
          <w:tcPr>
            <w:tcW w:w="960" w:type="dxa"/>
            <w:noWrap/>
            <w:hideMark/>
          </w:tcPr>
          <w:p w14:paraId="7830A520" w14:textId="77777777" w:rsidR="005A67A8" w:rsidRPr="005A67A8" w:rsidRDefault="005A67A8" w:rsidP="005A67A8">
            <w:r w:rsidRPr="005A67A8">
              <w:t>7</w:t>
            </w:r>
          </w:p>
        </w:tc>
        <w:tc>
          <w:tcPr>
            <w:tcW w:w="960" w:type="dxa"/>
            <w:noWrap/>
            <w:hideMark/>
          </w:tcPr>
          <w:p w14:paraId="7D3BB422" w14:textId="77777777" w:rsidR="005A67A8" w:rsidRPr="005A67A8" w:rsidRDefault="005A67A8" w:rsidP="005A67A8">
            <w:r w:rsidRPr="005A67A8">
              <w:t>4</w:t>
            </w:r>
          </w:p>
        </w:tc>
        <w:tc>
          <w:tcPr>
            <w:tcW w:w="960" w:type="dxa"/>
            <w:noWrap/>
            <w:hideMark/>
          </w:tcPr>
          <w:p w14:paraId="767A71C3" w14:textId="77777777" w:rsidR="005A67A8" w:rsidRPr="005A67A8" w:rsidRDefault="005A67A8" w:rsidP="005A67A8">
            <w:r w:rsidRPr="005A67A8">
              <w:t>7</w:t>
            </w:r>
          </w:p>
        </w:tc>
        <w:tc>
          <w:tcPr>
            <w:tcW w:w="960" w:type="dxa"/>
            <w:noWrap/>
            <w:hideMark/>
          </w:tcPr>
          <w:p w14:paraId="526B37F4" w14:textId="77777777" w:rsidR="005A67A8" w:rsidRPr="005A67A8" w:rsidRDefault="005A67A8" w:rsidP="005A67A8">
            <w:r w:rsidRPr="005A67A8">
              <w:t>5</w:t>
            </w:r>
          </w:p>
        </w:tc>
        <w:tc>
          <w:tcPr>
            <w:tcW w:w="960" w:type="dxa"/>
            <w:noWrap/>
            <w:hideMark/>
          </w:tcPr>
          <w:p w14:paraId="764E7E0E" w14:textId="77777777" w:rsidR="005A67A8" w:rsidRPr="005A67A8" w:rsidRDefault="005A67A8" w:rsidP="005A67A8">
            <w:r w:rsidRPr="005A67A8">
              <w:t>2</w:t>
            </w:r>
          </w:p>
        </w:tc>
        <w:tc>
          <w:tcPr>
            <w:tcW w:w="960" w:type="dxa"/>
            <w:noWrap/>
            <w:hideMark/>
          </w:tcPr>
          <w:p w14:paraId="3C46C6F0" w14:textId="77777777" w:rsidR="005A67A8" w:rsidRPr="005A67A8" w:rsidRDefault="005A67A8" w:rsidP="005A67A8">
            <w:r w:rsidRPr="005A67A8">
              <w:t>7</w:t>
            </w:r>
          </w:p>
        </w:tc>
        <w:tc>
          <w:tcPr>
            <w:tcW w:w="960" w:type="dxa"/>
            <w:noWrap/>
            <w:hideMark/>
          </w:tcPr>
          <w:p w14:paraId="024AB5BD" w14:textId="77777777" w:rsidR="005A67A8" w:rsidRPr="005A67A8" w:rsidRDefault="005A67A8" w:rsidP="005A67A8">
            <w:r w:rsidRPr="005A67A8">
              <w:t>8</w:t>
            </w:r>
          </w:p>
        </w:tc>
      </w:tr>
      <w:tr w:rsidR="005A67A8" w:rsidRPr="005A67A8" w14:paraId="427C3A26" w14:textId="77777777" w:rsidTr="005A67A8">
        <w:trPr>
          <w:trHeight w:val="210"/>
        </w:trPr>
        <w:tc>
          <w:tcPr>
            <w:tcW w:w="1780" w:type="dxa"/>
            <w:noWrap/>
            <w:hideMark/>
          </w:tcPr>
          <w:p w14:paraId="10AA69EF" w14:textId="77777777" w:rsidR="005A67A8" w:rsidRPr="005A67A8" w:rsidRDefault="005A67A8">
            <w:r w:rsidRPr="005A67A8">
              <w:t>E01025082</w:t>
            </w:r>
          </w:p>
        </w:tc>
        <w:tc>
          <w:tcPr>
            <w:tcW w:w="1560" w:type="dxa"/>
            <w:noWrap/>
            <w:hideMark/>
          </w:tcPr>
          <w:p w14:paraId="74AEAC96" w14:textId="77777777" w:rsidR="005A67A8" w:rsidRPr="005A67A8" w:rsidRDefault="005A67A8">
            <w:r w:rsidRPr="005A67A8">
              <w:t>Hyndburn 006E</w:t>
            </w:r>
          </w:p>
        </w:tc>
        <w:tc>
          <w:tcPr>
            <w:tcW w:w="1200" w:type="dxa"/>
            <w:noWrap/>
            <w:hideMark/>
          </w:tcPr>
          <w:p w14:paraId="6C1FDEFA" w14:textId="77777777" w:rsidR="005A67A8" w:rsidRPr="005A67A8" w:rsidRDefault="005A67A8">
            <w:r w:rsidRPr="005A67A8">
              <w:t>Spring Hill</w:t>
            </w:r>
          </w:p>
        </w:tc>
        <w:tc>
          <w:tcPr>
            <w:tcW w:w="960" w:type="dxa"/>
            <w:noWrap/>
            <w:hideMark/>
          </w:tcPr>
          <w:p w14:paraId="1DBA1562" w14:textId="77777777" w:rsidR="005A67A8" w:rsidRPr="005A67A8" w:rsidRDefault="005A67A8" w:rsidP="005A67A8">
            <w:r w:rsidRPr="005A67A8">
              <w:t>1</w:t>
            </w:r>
          </w:p>
        </w:tc>
        <w:tc>
          <w:tcPr>
            <w:tcW w:w="960" w:type="dxa"/>
            <w:noWrap/>
            <w:hideMark/>
          </w:tcPr>
          <w:p w14:paraId="06D30E1F" w14:textId="77777777" w:rsidR="005A67A8" w:rsidRPr="005A67A8" w:rsidRDefault="005A67A8" w:rsidP="005A67A8">
            <w:r w:rsidRPr="005A67A8">
              <w:t>1</w:t>
            </w:r>
          </w:p>
        </w:tc>
        <w:tc>
          <w:tcPr>
            <w:tcW w:w="960" w:type="dxa"/>
            <w:noWrap/>
            <w:hideMark/>
          </w:tcPr>
          <w:p w14:paraId="69D1739B" w14:textId="77777777" w:rsidR="005A67A8" w:rsidRPr="005A67A8" w:rsidRDefault="005A67A8" w:rsidP="005A67A8">
            <w:r w:rsidRPr="005A67A8">
              <w:t>1</w:t>
            </w:r>
          </w:p>
        </w:tc>
        <w:tc>
          <w:tcPr>
            <w:tcW w:w="960" w:type="dxa"/>
            <w:noWrap/>
            <w:hideMark/>
          </w:tcPr>
          <w:p w14:paraId="234CF1EE" w14:textId="77777777" w:rsidR="005A67A8" w:rsidRPr="005A67A8" w:rsidRDefault="005A67A8" w:rsidP="005A67A8">
            <w:r w:rsidRPr="005A67A8">
              <w:t>1</w:t>
            </w:r>
          </w:p>
        </w:tc>
        <w:tc>
          <w:tcPr>
            <w:tcW w:w="960" w:type="dxa"/>
            <w:noWrap/>
            <w:hideMark/>
          </w:tcPr>
          <w:p w14:paraId="59E9EB29" w14:textId="77777777" w:rsidR="005A67A8" w:rsidRPr="005A67A8" w:rsidRDefault="005A67A8" w:rsidP="005A67A8">
            <w:r w:rsidRPr="005A67A8">
              <w:t>2</w:t>
            </w:r>
          </w:p>
        </w:tc>
        <w:tc>
          <w:tcPr>
            <w:tcW w:w="960" w:type="dxa"/>
            <w:noWrap/>
            <w:hideMark/>
          </w:tcPr>
          <w:p w14:paraId="7DEF6A78" w14:textId="77777777" w:rsidR="005A67A8" w:rsidRPr="005A67A8" w:rsidRDefault="005A67A8" w:rsidP="005A67A8">
            <w:r w:rsidRPr="005A67A8">
              <w:t>2</w:t>
            </w:r>
          </w:p>
        </w:tc>
        <w:tc>
          <w:tcPr>
            <w:tcW w:w="960" w:type="dxa"/>
            <w:noWrap/>
            <w:hideMark/>
          </w:tcPr>
          <w:p w14:paraId="64D470FB" w14:textId="77777777" w:rsidR="005A67A8" w:rsidRPr="005A67A8" w:rsidRDefault="005A67A8" w:rsidP="005A67A8">
            <w:r w:rsidRPr="005A67A8">
              <w:t>4</w:t>
            </w:r>
          </w:p>
        </w:tc>
        <w:tc>
          <w:tcPr>
            <w:tcW w:w="960" w:type="dxa"/>
            <w:noWrap/>
            <w:hideMark/>
          </w:tcPr>
          <w:p w14:paraId="44FF42E5" w14:textId="77777777" w:rsidR="005A67A8" w:rsidRPr="005A67A8" w:rsidRDefault="005A67A8" w:rsidP="005A67A8">
            <w:r w:rsidRPr="005A67A8">
              <w:t>6</w:t>
            </w:r>
          </w:p>
        </w:tc>
        <w:tc>
          <w:tcPr>
            <w:tcW w:w="960" w:type="dxa"/>
            <w:noWrap/>
            <w:hideMark/>
          </w:tcPr>
          <w:p w14:paraId="0FB632BF" w14:textId="77777777" w:rsidR="005A67A8" w:rsidRPr="005A67A8" w:rsidRDefault="005A67A8" w:rsidP="005A67A8">
            <w:r w:rsidRPr="005A67A8">
              <w:t>1</w:t>
            </w:r>
          </w:p>
        </w:tc>
        <w:tc>
          <w:tcPr>
            <w:tcW w:w="960" w:type="dxa"/>
            <w:noWrap/>
            <w:hideMark/>
          </w:tcPr>
          <w:p w14:paraId="5BC57DE9" w14:textId="77777777" w:rsidR="005A67A8" w:rsidRPr="005A67A8" w:rsidRDefault="005A67A8" w:rsidP="005A67A8">
            <w:r w:rsidRPr="005A67A8">
              <w:t>1</w:t>
            </w:r>
          </w:p>
        </w:tc>
      </w:tr>
      <w:tr w:rsidR="005A67A8" w:rsidRPr="005A67A8" w14:paraId="32128376" w14:textId="77777777" w:rsidTr="005A67A8">
        <w:trPr>
          <w:trHeight w:val="210"/>
        </w:trPr>
        <w:tc>
          <w:tcPr>
            <w:tcW w:w="1780" w:type="dxa"/>
            <w:noWrap/>
            <w:hideMark/>
          </w:tcPr>
          <w:p w14:paraId="32CF89DD" w14:textId="77777777" w:rsidR="005A67A8" w:rsidRPr="005A67A8" w:rsidRDefault="005A67A8">
            <w:r w:rsidRPr="005A67A8">
              <w:t>E01025083</w:t>
            </w:r>
          </w:p>
        </w:tc>
        <w:tc>
          <w:tcPr>
            <w:tcW w:w="1560" w:type="dxa"/>
            <w:noWrap/>
            <w:hideMark/>
          </w:tcPr>
          <w:p w14:paraId="5EE8B6C1" w14:textId="77777777" w:rsidR="005A67A8" w:rsidRPr="005A67A8" w:rsidRDefault="005A67A8">
            <w:r w:rsidRPr="005A67A8">
              <w:t>Hyndburn 006F</w:t>
            </w:r>
          </w:p>
        </w:tc>
        <w:tc>
          <w:tcPr>
            <w:tcW w:w="1200" w:type="dxa"/>
            <w:noWrap/>
            <w:hideMark/>
          </w:tcPr>
          <w:p w14:paraId="20B7F14B" w14:textId="77777777" w:rsidR="005A67A8" w:rsidRPr="005A67A8" w:rsidRDefault="005A67A8">
            <w:r w:rsidRPr="005A67A8">
              <w:t>Spring Hill</w:t>
            </w:r>
          </w:p>
        </w:tc>
        <w:tc>
          <w:tcPr>
            <w:tcW w:w="960" w:type="dxa"/>
            <w:noWrap/>
            <w:hideMark/>
          </w:tcPr>
          <w:p w14:paraId="4BB0824B" w14:textId="77777777" w:rsidR="005A67A8" w:rsidRPr="005A67A8" w:rsidRDefault="005A67A8" w:rsidP="005A67A8">
            <w:r w:rsidRPr="005A67A8">
              <w:t>1</w:t>
            </w:r>
          </w:p>
        </w:tc>
        <w:tc>
          <w:tcPr>
            <w:tcW w:w="960" w:type="dxa"/>
            <w:noWrap/>
            <w:hideMark/>
          </w:tcPr>
          <w:p w14:paraId="4D834BFD" w14:textId="77777777" w:rsidR="005A67A8" w:rsidRPr="005A67A8" w:rsidRDefault="005A67A8" w:rsidP="005A67A8">
            <w:r w:rsidRPr="005A67A8">
              <w:t>1</w:t>
            </w:r>
          </w:p>
        </w:tc>
        <w:tc>
          <w:tcPr>
            <w:tcW w:w="960" w:type="dxa"/>
            <w:noWrap/>
            <w:hideMark/>
          </w:tcPr>
          <w:p w14:paraId="41071375" w14:textId="77777777" w:rsidR="005A67A8" w:rsidRPr="005A67A8" w:rsidRDefault="005A67A8" w:rsidP="005A67A8">
            <w:r w:rsidRPr="005A67A8">
              <w:t>1</w:t>
            </w:r>
          </w:p>
        </w:tc>
        <w:tc>
          <w:tcPr>
            <w:tcW w:w="960" w:type="dxa"/>
            <w:noWrap/>
            <w:hideMark/>
          </w:tcPr>
          <w:p w14:paraId="47825495" w14:textId="77777777" w:rsidR="005A67A8" w:rsidRPr="005A67A8" w:rsidRDefault="005A67A8" w:rsidP="005A67A8">
            <w:r w:rsidRPr="005A67A8">
              <w:t>1</w:t>
            </w:r>
          </w:p>
        </w:tc>
        <w:tc>
          <w:tcPr>
            <w:tcW w:w="960" w:type="dxa"/>
            <w:noWrap/>
            <w:hideMark/>
          </w:tcPr>
          <w:p w14:paraId="6DF3B33D" w14:textId="77777777" w:rsidR="005A67A8" w:rsidRPr="005A67A8" w:rsidRDefault="005A67A8" w:rsidP="005A67A8">
            <w:r w:rsidRPr="005A67A8">
              <w:t>1</w:t>
            </w:r>
          </w:p>
        </w:tc>
        <w:tc>
          <w:tcPr>
            <w:tcW w:w="960" w:type="dxa"/>
            <w:noWrap/>
            <w:hideMark/>
          </w:tcPr>
          <w:p w14:paraId="39302691" w14:textId="77777777" w:rsidR="005A67A8" w:rsidRPr="005A67A8" w:rsidRDefault="005A67A8" w:rsidP="005A67A8">
            <w:r w:rsidRPr="005A67A8">
              <w:t>1</w:t>
            </w:r>
          </w:p>
        </w:tc>
        <w:tc>
          <w:tcPr>
            <w:tcW w:w="960" w:type="dxa"/>
            <w:noWrap/>
            <w:hideMark/>
          </w:tcPr>
          <w:p w14:paraId="074468D0" w14:textId="77777777" w:rsidR="005A67A8" w:rsidRPr="005A67A8" w:rsidRDefault="005A67A8" w:rsidP="005A67A8">
            <w:r w:rsidRPr="005A67A8">
              <w:t>3</w:t>
            </w:r>
          </w:p>
        </w:tc>
        <w:tc>
          <w:tcPr>
            <w:tcW w:w="960" w:type="dxa"/>
            <w:noWrap/>
            <w:hideMark/>
          </w:tcPr>
          <w:p w14:paraId="6675A8C2" w14:textId="77777777" w:rsidR="005A67A8" w:rsidRPr="005A67A8" w:rsidRDefault="005A67A8" w:rsidP="005A67A8">
            <w:r w:rsidRPr="005A67A8">
              <w:t>1</w:t>
            </w:r>
          </w:p>
        </w:tc>
        <w:tc>
          <w:tcPr>
            <w:tcW w:w="960" w:type="dxa"/>
            <w:noWrap/>
            <w:hideMark/>
          </w:tcPr>
          <w:p w14:paraId="4AD81954" w14:textId="77777777" w:rsidR="005A67A8" w:rsidRPr="005A67A8" w:rsidRDefault="005A67A8" w:rsidP="005A67A8">
            <w:r w:rsidRPr="005A67A8">
              <w:t>2</w:t>
            </w:r>
          </w:p>
        </w:tc>
        <w:tc>
          <w:tcPr>
            <w:tcW w:w="960" w:type="dxa"/>
            <w:noWrap/>
            <w:hideMark/>
          </w:tcPr>
          <w:p w14:paraId="5F509936" w14:textId="77777777" w:rsidR="005A67A8" w:rsidRPr="005A67A8" w:rsidRDefault="005A67A8" w:rsidP="005A67A8">
            <w:r w:rsidRPr="005A67A8">
              <w:t>3</w:t>
            </w:r>
          </w:p>
        </w:tc>
      </w:tr>
      <w:tr w:rsidR="005A67A8" w:rsidRPr="005A67A8" w14:paraId="5CD2B780" w14:textId="77777777" w:rsidTr="005A67A8">
        <w:trPr>
          <w:trHeight w:val="210"/>
        </w:trPr>
        <w:tc>
          <w:tcPr>
            <w:tcW w:w="1780" w:type="dxa"/>
            <w:noWrap/>
            <w:hideMark/>
          </w:tcPr>
          <w:p w14:paraId="0B4A0D5A" w14:textId="77777777" w:rsidR="005A67A8" w:rsidRPr="005A67A8" w:rsidRDefault="005A67A8">
            <w:r w:rsidRPr="005A67A8">
              <w:t>E01025084</w:t>
            </w:r>
          </w:p>
        </w:tc>
        <w:tc>
          <w:tcPr>
            <w:tcW w:w="1560" w:type="dxa"/>
            <w:noWrap/>
            <w:hideMark/>
          </w:tcPr>
          <w:p w14:paraId="32EEF41D" w14:textId="77777777" w:rsidR="005A67A8" w:rsidRPr="005A67A8" w:rsidRDefault="005A67A8">
            <w:r w:rsidRPr="005A67A8">
              <w:t>Hyndburn 006G</w:t>
            </w:r>
          </w:p>
        </w:tc>
        <w:tc>
          <w:tcPr>
            <w:tcW w:w="1200" w:type="dxa"/>
            <w:noWrap/>
            <w:hideMark/>
          </w:tcPr>
          <w:p w14:paraId="1417BBC7" w14:textId="77777777" w:rsidR="005A67A8" w:rsidRPr="005A67A8" w:rsidRDefault="005A67A8">
            <w:r w:rsidRPr="005A67A8">
              <w:t>Spring Hill</w:t>
            </w:r>
          </w:p>
        </w:tc>
        <w:tc>
          <w:tcPr>
            <w:tcW w:w="960" w:type="dxa"/>
            <w:noWrap/>
            <w:hideMark/>
          </w:tcPr>
          <w:p w14:paraId="6D8B8074" w14:textId="77777777" w:rsidR="005A67A8" w:rsidRPr="005A67A8" w:rsidRDefault="005A67A8" w:rsidP="005A67A8">
            <w:r w:rsidRPr="005A67A8">
              <w:t>1</w:t>
            </w:r>
          </w:p>
        </w:tc>
        <w:tc>
          <w:tcPr>
            <w:tcW w:w="960" w:type="dxa"/>
            <w:noWrap/>
            <w:hideMark/>
          </w:tcPr>
          <w:p w14:paraId="1BCBE711" w14:textId="77777777" w:rsidR="005A67A8" w:rsidRPr="005A67A8" w:rsidRDefault="005A67A8" w:rsidP="005A67A8">
            <w:r w:rsidRPr="005A67A8">
              <w:t>1</w:t>
            </w:r>
          </w:p>
        </w:tc>
        <w:tc>
          <w:tcPr>
            <w:tcW w:w="960" w:type="dxa"/>
            <w:noWrap/>
            <w:hideMark/>
          </w:tcPr>
          <w:p w14:paraId="786C33A4" w14:textId="77777777" w:rsidR="005A67A8" w:rsidRPr="005A67A8" w:rsidRDefault="005A67A8" w:rsidP="005A67A8">
            <w:r w:rsidRPr="005A67A8">
              <w:t>1</w:t>
            </w:r>
          </w:p>
        </w:tc>
        <w:tc>
          <w:tcPr>
            <w:tcW w:w="960" w:type="dxa"/>
            <w:noWrap/>
            <w:hideMark/>
          </w:tcPr>
          <w:p w14:paraId="6A060AD2" w14:textId="77777777" w:rsidR="005A67A8" w:rsidRPr="005A67A8" w:rsidRDefault="005A67A8" w:rsidP="005A67A8">
            <w:r w:rsidRPr="005A67A8">
              <w:t>1</w:t>
            </w:r>
          </w:p>
        </w:tc>
        <w:tc>
          <w:tcPr>
            <w:tcW w:w="960" w:type="dxa"/>
            <w:noWrap/>
            <w:hideMark/>
          </w:tcPr>
          <w:p w14:paraId="04D9F807" w14:textId="77777777" w:rsidR="005A67A8" w:rsidRPr="005A67A8" w:rsidRDefault="005A67A8" w:rsidP="005A67A8">
            <w:r w:rsidRPr="005A67A8">
              <w:t>1</w:t>
            </w:r>
          </w:p>
        </w:tc>
        <w:tc>
          <w:tcPr>
            <w:tcW w:w="960" w:type="dxa"/>
            <w:noWrap/>
            <w:hideMark/>
          </w:tcPr>
          <w:p w14:paraId="390CE0F0" w14:textId="77777777" w:rsidR="005A67A8" w:rsidRPr="005A67A8" w:rsidRDefault="005A67A8" w:rsidP="005A67A8">
            <w:r w:rsidRPr="005A67A8">
              <w:t>2</w:t>
            </w:r>
          </w:p>
        </w:tc>
        <w:tc>
          <w:tcPr>
            <w:tcW w:w="960" w:type="dxa"/>
            <w:noWrap/>
            <w:hideMark/>
          </w:tcPr>
          <w:p w14:paraId="3E1E1A19" w14:textId="77777777" w:rsidR="005A67A8" w:rsidRPr="005A67A8" w:rsidRDefault="005A67A8" w:rsidP="005A67A8">
            <w:r w:rsidRPr="005A67A8">
              <w:t>3</w:t>
            </w:r>
          </w:p>
        </w:tc>
        <w:tc>
          <w:tcPr>
            <w:tcW w:w="960" w:type="dxa"/>
            <w:noWrap/>
            <w:hideMark/>
          </w:tcPr>
          <w:p w14:paraId="23DC12CA" w14:textId="77777777" w:rsidR="005A67A8" w:rsidRPr="005A67A8" w:rsidRDefault="005A67A8" w:rsidP="005A67A8">
            <w:r w:rsidRPr="005A67A8">
              <w:t>1</w:t>
            </w:r>
          </w:p>
        </w:tc>
        <w:tc>
          <w:tcPr>
            <w:tcW w:w="960" w:type="dxa"/>
            <w:noWrap/>
            <w:hideMark/>
          </w:tcPr>
          <w:p w14:paraId="4CC9A3D4" w14:textId="77777777" w:rsidR="005A67A8" w:rsidRPr="005A67A8" w:rsidRDefault="005A67A8" w:rsidP="005A67A8">
            <w:r w:rsidRPr="005A67A8">
              <w:t>1</w:t>
            </w:r>
          </w:p>
        </w:tc>
        <w:tc>
          <w:tcPr>
            <w:tcW w:w="960" w:type="dxa"/>
            <w:noWrap/>
            <w:hideMark/>
          </w:tcPr>
          <w:p w14:paraId="6E9ECAB0" w14:textId="77777777" w:rsidR="005A67A8" w:rsidRPr="005A67A8" w:rsidRDefault="005A67A8" w:rsidP="005A67A8">
            <w:r w:rsidRPr="005A67A8">
              <w:t>1</w:t>
            </w:r>
          </w:p>
        </w:tc>
      </w:tr>
      <w:tr w:rsidR="005A67A8" w:rsidRPr="005A67A8" w14:paraId="2FA35DE5" w14:textId="77777777" w:rsidTr="005A67A8">
        <w:trPr>
          <w:trHeight w:val="210"/>
        </w:trPr>
        <w:tc>
          <w:tcPr>
            <w:tcW w:w="1780" w:type="dxa"/>
            <w:noWrap/>
            <w:hideMark/>
          </w:tcPr>
          <w:p w14:paraId="1AD68331" w14:textId="77777777" w:rsidR="005A67A8" w:rsidRPr="005A67A8" w:rsidRDefault="005A67A8">
            <w:r w:rsidRPr="005A67A8">
              <w:t>E01034335</w:t>
            </w:r>
          </w:p>
        </w:tc>
        <w:tc>
          <w:tcPr>
            <w:tcW w:w="1560" w:type="dxa"/>
            <w:noWrap/>
            <w:hideMark/>
          </w:tcPr>
          <w:p w14:paraId="3273B28A" w14:textId="77777777" w:rsidR="005A67A8" w:rsidRPr="005A67A8" w:rsidRDefault="005A67A8">
            <w:r w:rsidRPr="005A67A8">
              <w:t>Hyndburn 006I</w:t>
            </w:r>
          </w:p>
        </w:tc>
        <w:tc>
          <w:tcPr>
            <w:tcW w:w="1200" w:type="dxa"/>
            <w:noWrap/>
            <w:hideMark/>
          </w:tcPr>
          <w:p w14:paraId="1B951367" w14:textId="77777777" w:rsidR="005A67A8" w:rsidRPr="005A67A8" w:rsidRDefault="005A67A8">
            <w:r w:rsidRPr="005A67A8">
              <w:t>Central</w:t>
            </w:r>
          </w:p>
        </w:tc>
        <w:tc>
          <w:tcPr>
            <w:tcW w:w="960" w:type="dxa"/>
            <w:noWrap/>
            <w:hideMark/>
          </w:tcPr>
          <w:p w14:paraId="411623E5" w14:textId="77777777" w:rsidR="005A67A8" w:rsidRPr="005A67A8" w:rsidRDefault="005A67A8" w:rsidP="005A67A8">
            <w:r w:rsidRPr="005A67A8">
              <w:t>1</w:t>
            </w:r>
          </w:p>
        </w:tc>
        <w:tc>
          <w:tcPr>
            <w:tcW w:w="960" w:type="dxa"/>
            <w:noWrap/>
            <w:hideMark/>
          </w:tcPr>
          <w:p w14:paraId="096BDAFE" w14:textId="77777777" w:rsidR="005A67A8" w:rsidRPr="005A67A8" w:rsidRDefault="005A67A8" w:rsidP="005A67A8">
            <w:r w:rsidRPr="005A67A8">
              <w:t>1</w:t>
            </w:r>
          </w:p>
        </w:tc>
        <w:tc>
          <w:tcPr>
            <w:tcW w:w="960" w:type="dxa"/>
            <w:noWrap/>
            <w:hideMark/>
          </w:tcPr>
          <w:p w14:paraId="09BCEABD" w14:textId="77777777" w:rsidR="005A67A8" w:rsidRPr="005A67A8" w:rsidRDefault="005A67A8" w:rsidP="005A67A8">
            <w:r w:rsidRPr="005A67A8">
              <w:t>2</w:t>
            </w:r>
          </w:p>
        </w:tc>
        <w:tc>
          <w:tcPr>
            <w:tcW w:w="960" w:type="dxa"/>
            <w:noWrap/>
            <w:hideMark/>
          </w:tcPr>
          <w:p w14:paraId="2F860B6F" w14:textId="77777777" w:rsidR="005A67A8" w:rsidRPr="005A67A8" w:rsidRDefault="005A67A8" w:rsidP="005A67A8">
            <w:r w:rsidRPr="005A67A8">
              <w:t>1</w:t>
            </w:r>
          </w:p>
        </w:tc>
        <w:tc>
          <w:tcPr>
            <w:tcW w:w="960" w:type="dxa"/>
            <w:noWrap/>
            <w:hideMark/>
          </w:tcPr>
          <w:p w14:paraId="447172B2" w14:textId="77777777" w:rsidR="005A67A8" w:rsidRPr="005A67A8" w:rsidRDefault="005A67A8" w:rsidP="005A67A8">
            <w:r w:rsidRPr="005A67A8">
              <w:t>2</w:t>
            </w:r>
          </w:p>
        </w:tc>
        <w:tc>
          <w:tcPr>
            <w:tcW w:w="960" w:type="dxa"/>
            <w:noWrap/>
            <w:hideMark/>
          </w:tcPr>
          <w:p w14:paraId="4F49FA8B" w14:textId="77777777" w:rsidR="005A67A8" w:rsidRPr="005A67A8" w:rsidRDefault="005A67A8" w:rsidP="005A67A8">
            <w:r w:rsidRPr="005A67A8">
              <w:t>3</w:t>
            </w:r>
          </w:p>
        </w:tc>
        <w:tc>
          <w:tcPr>
            <w:tcW w:w="960" w:type="dxa"/>
            <w:noWrap/>
            <w:hideMark/>
          </w:tcPr>
          <w:p w14:paraId="641D8534" w14:textId="77777777" w:rsidR="005A67A8" w:rsidRPr="005A67A8" w:rsidRDefault="005A67A8" w:rsidP="005A67A8">
            <w:r w:rsidRPr="005A67A8">
              <w:t>2</w:t>
            </w:r>
          </w:p>
        </w:tc>
        <w:tc>
          <w:tcPr>
            <w:tcW w:w="960" w:type="dxa"/>
            <w:noWrap/>
            <w:hideMark/>
          </w:tcPr>
          <w:p w14:paraId="5B8C0C82" w14:textId="77777777" w:rsidR="005A67A8" w:rsidRPr="005A67A8" w:rsidRDefault="005A67A8" w:rsidP="005A67A8">
            <w:r w:rsidRPr="005A67A8">
              <w:t>1</w:t>
            </w:r>
          </w:p>
        </w:tc>
        <w:tc>
          <w:tcPr>
            <w:tcW w:w="960" w:type="dxa"/>
            <w:noWrap/>
            <w:hideMark/>
          </w:tcPr>
          <w:p w14:paraId="26C8B14B" w14:textId="77777777" w:rsidR="005A67A8" w:rsidRPr="005A67A8" w:rsidRDefault="005A67A8" w:rsidP="005A67A8">
            <w:r w:rsidRPr="005A67A8">
              <w:t>3</w:t>
            </w:r>
          </w:p>
        </w:tc>
        <w:tc>
          <w:tcPr>
            <w:tcW w:w="960" w:type="dxa"/>
            <w:noWrap/>
            <w:hideMark/>
          </w:tcPr>
          <w:p w14:paraId="7C464A75" w14:textId="77777777" w:rsidR="005A67A8" w:rsidRPr="005A67A8" w:rsidRDefault="005A67A8" w:rsidP="005A67A8">
            <w:r w:rsidRPr="005A67A8">
              <w:t>1</w:t>
            </w:r>
          </w:p>
        </w:tc>
      </w:tr>
      <w:tr w:rsidR="005A67A8" w:rsidRPr="005A67A8" w14:paraId="74F52CBB" w14:textId="77777777" w:rsidTr="005A67A8">
        <w:trPr>
          <w:trHeight w:val="210"/>
        </w:trPr>
        <w:tc>
          <w:tcPr>
            <w:tcW w:w="1780" w:type="dxa"/>
            <w:noWrap/>
            <w:hideMark/>
          </w:tcPr>
          <w:p w14:paraId="2955E98B" w14:textId="77777777" w:rsidR="005A67A8" w:rsidRPr="005A67A8" w:rsidRDefault="005A67A8">
            <w:r w:rsidRPr="005A67A8">
              <w:t>E01034336</w:t>
            </w:r>
          </w:p>
        </w:tc>
        <w:tc>
          <w:tcPr>
            <w:tcW w:w="1560" w:type="dxa"/>
            <w:noWrap/>
            <w:hideMark/>
          </w:tcPr>
          <w:p w14:paraId="5FED3AAF" w14:textId="77777777" w:rsidR="005A67A8" w:rsidRPr="005A67A8" w:rsidRDefault="005A67A8">
            <w:r w:rsidRPr="005A67A8">
              <w:t>Hyndburn 006J</w:t>
            </w:r>
          </w:p>
        </w:tc>
        <w:tc>
          <w:tcPr>
            <w:tcW w:w="1200" w:type="dxa"/>
            <w:noWrap/>
            <w:hideMark/>
          </w:tcPr>
          <w:p w14:paraId="2AF12677" w14:textId="77777777" w:rsidR="005A67A8" w:rsidRPr="005A67A8" w:rsidRDefault="005A67A8">
            <w:r w:rsidRPr="005A67A8">
              <w:t>Church</w:t>
            </w:r>
          </w:p>
        </w:tc>
        <w:tc>
          <w:tcPr>
            <w:tcW w:w="960" w:type="dxa"/>
            <w:noWrap/>
            <w:hideMark/>
          </w:tcPr>
          <w:p w14:paraId="005D6360" w14:textId="77777777" w:rsidR="005A67A8" w:rsidRPr="005A67A8" w:rsidRDefault="005A67A8" w:rsidP="005A67A8">
            <w:r w:rsidRPr="005A67A8">
              <w:t>1</w:t>
            </w:r>
          </w:p>
        </w:tc>
        <w:tc>
          <w:tcPr>
            <w:tcW w:w="960" w:type="dxa"/>
            <w:noWrap/>
            <w:hideMark/>
          </w:tcPr>
          <w:p w14:paraId="19B9F993" w14:textId="77777777" w:rsidR="005A67A8" w:rsidRPr="005A67A8" w:rsidRDefault="005A67A8" w:rsidP="005A67A8">
            <w:r w:rsidRPr="005A67A8">
              <w:t>1</w:t>
            </w:r>
          </w:p>
        </w:tc>
        <w:tc>
          <w:tcPr>
            <w:tcW w:w="960" w:type="dxa"/>
            <w:noWrap/>
            <w:hideMark/>
          </w:tcPr>
          <w:p w14:paraId="0EA82984" w14:textId="77777777" w:rsidR="005A67A8" w:rsidRPr="005A67A8" w:rsidRDefault="005A67A8" w:rsidP="005A67A8">
            <w:r w:rsidRPr="005A67A8">
              <w:t>2</w:t>
            </w:r>
          </w:p>
        </w:tc>
        <w:tc>
          <w:tcPr>
            <w:tcW w:w="960" w:type="dxa"/>
            <w:noWrap/>
            <w:hideMark/>
          </w:tcPr>
          <w:p w14:paraId="644D55C5" w14:textId="77777777" w:rsidR="005A67A8" w:rsidRPr="005A67A8" w:rsidRDefault="005A67A8" w:rsidP="005A67A8">
            <w:r w:rsidRPr="005A67A8">
              <w:t>1</w:t>
            </w:r>
          </w:p>
        </w:tc>
        <w:tc>
          <w:tcPr>
            <w:tcW w:w="960" w:type="dxa"/>
            <w:noWrap/>
            <w:hideMark/>
          </w:tcPr>
          <w:p w14:paraId="05E04809" w14:textId="77777777" w:rsidR="005A67A8" w:rsidRPr="005A67A8" w:rsidRDefault="005A67A8" w:rsidP="005A67A8">
            <w:r w:rsidRPr="005A67A8">
              <w:t>1</w:t>
            </w:r>
          </w:p>
        </w:tc>
        <w:tc>
          <w:tcPr>
            <w:tcW w:w="960" w:type="dxa"/>
            <w:noWrap/>
            <w:hideMark/>
          </w:tcPr>
          <w:p w14:paraId="08382251" w14:textId="77777777" w:rsidR="005A67A8" w:rsidRPr="005A67A8" w:rsidRDefault="005A67A8" w:rsidP="005A67A8">
            <w:r w:rsidRPr="005A67A8">
              <w:t>2</w:t>
            </w:r>
          </w:p>
        </w:tc>
        <w:tc>
          <w:tcPr>
            <w:tcW w:w="960" w:type="dxa"/>
            <w:noWrap/>
            <w:hideMark/>
          </w:tcPr>
          <w:p w14:paraId="6C8934DF" w14:textId="77777777" w:rsidR="005A67A8" w:rsidRPr="005A67A8" w:rsidRDefault="005A67A8" w:rsidP="005A67A8">
            <w:r w:rsidRPr="005A67A8">
              <w:t>4</w:t>
            </w:r>
          </w:p>
        </w:tc>
        <w:tc>
          <w:tcPr>
            <w:tcW w:w="960" w:type="dxa"/>
            <w:noWrap/>
            <w:hideMark/>
          </w:tcPr>
          <w:p w14:paraId="66BE38BC" w14:textId="77777777" w:rsidR="005A67A8" w:rsidRPr="005A67A8" w:rsidRDefault="005A67A8" w:rsidP="005A67A8">
            <w:r w:rsidRPr="005A67A8">
              <w:t>3</w:t>
            </w:r>
          </w:p>
        </w:tc>
        <w:tc>
          <w:tcPr>
            <w:tcW w:w="960" w:type="dxa"/>
            <w:noWrap/>
            <w:hideMark/>
          </w:tcPr>
          <w:p w14:paraId="2A936987" w14:textId="77777777" w:rsidR="005A67A8" w:rsidRPr="005A67A8" w:rsidRDefault="005A67A8" w:rsidP="005A67A8">
            <w:r w:rsidRPr="005A67A8">
              <w:t>3</w:t>
            </w:r>
          </w:p>
        </w:tc>
        <w:tc>
          <w:tcPr>
            <w:tcW w:w="960" w:type="dxa"/>
            <w:noWrap/>
            <w:hideMark/>
          </w:tcPr>
          <w:p w14:paraId="744422BA" w14:textId="77777777" w:rsidR="005A67A8" w:rsidRPr="005A67A8" w:rsidRDefault="005A67A8" w:rsidP="005A67A8">
            <w:r w:rsidRPr="005A67A8">
              <w:t>1</w:t>
            </w:r>
          </w:p>
        </w:tc>
      </w:tr>
    </w:tbl>
    <w:p w14:paraId="10686BF9" w14:textId="77777777" w:rsidR="005A67A8" w:rsidRPr="005A67A8" w:rsidRDefault="005A67A8" w:rsidP="005A67A8"/>
    <w:sectPr w:rsidR="005A67A8" w:rsidRPr="005A67A8" w:rsidSect="001272B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4B45" w14:textId="77777777" w:rsidR="00A60822" w:rsidRDefault="00A60822" w:rsidP="0070318E">
      <w:pPr>
        <w:spacing w:after="0" w:line="240" w:lineRule="auto"/>
      </w:pPr>
      <w:r>
        <w:separator/>
      </w:r>
    </w:p>
  </w:endnote>
  <w:endnote w:type="continuationSeparator" w:id="0">
    <w:p w14:paraId="7E926A8F" w14:textId="77777777" w:rsidR="00A60822" w:rsidRDefault="00A60822" w:rsidP="00703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868607"/>
      <w:docPartObj>
        <w:docPartGallery w:val="Page Numbers (Bottom of Page)"/>
        <w:docPartUnique/>
      </w:docPartObj>
    </w:sdtPr>
    <w:sdtEndPr>
      <w:rPr>
        <w:noProof/>
      </w:rPr>
    </w:sdtEndPr>
    <w:sdtContent>
      <w:p w14:paraId="2831D0FF" w14:textId="27E156EC" w:rsidR="001272BE" w:rsidRDefault="001272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D5A1CE" w14:textId="77777777" w:rsidR="00A278D5" w:rsidRDefault="00A2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60222"/>
      <w:docPartObj>
        <w:docPartGallery w:val="Page Numbers (Bottom of Page)"/>
        <w:docPartUnique/>
      </w:docPartObj>
    </w:sdtPr>
    <w:sdtEndPr>
      <w:rPr>
        <w:noProof/>
      </w:rPr>
    </w:sdtEndPr>
    <w:sdtContent>
      <w:p w14:paraId="63D67C58" w14:textId="77777777" w:rsidR="001272BE" w:rsidRDefault="001272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6D32E1" w14:textId="77777777" w:rsidR="001272BE" w:rsidRDefault="0012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00C8" w14:textId="77777777" w:rsidR="00A60822" w:rsidRDefault="00A60822" w:rsidP="0070318E">
      <w:pPr>
        <w:spacing w:after="0" w:line="240" w:lineRule="auto"/>
      </w:pPr>
      <w:r>
        <w:separator/>
      </w:r>
    </w:p>
  </w:footnote>
  <w:footnote w:type="continuationSeparator" w:id="0">
    <w:p w14:paraId="7E12B9FE" w14:textId="77777777" w:rsidR="00A60822" w:rsidRDefault="00A60822" w:rsidP="0070318E">
      <w:pPr>
        <w:spacing w:after="0" w:line="240" w:lineRule="auto"/>
      </w:pPr>
      <w:r>
        <w:continuationSeparator/>
      </w:r>
    </w:p>
  </w:footnote>
  <w:footnote w:id="1">
    <w:p w14:paraId="4AB475F4" w14:textId="77777777" w:rsidR="00A278D5" w:rsidRPr="00B558D1" w:rsidRDefault="00A278D5">
      <w:pPr>
        <w:pStyle w:val="FootnoteText"/>
        <w:rPr>
          <w:rFonts w:ascii="Arial" w:hAnsi="Arial" w:cs="Arial"/>
        </w:rPr>
      </w:pPr>
      <w:r w:rsidRPr="00B558D1">
        <w:rPr>
          <w:rStyle w:val="FootnoteReference"/>
          <w:rFonts w:ascii="Arial" w:hAnsi="Arial" w:cs="Arial"/>
        </w:rPr>
        <w:footnoteRef/>
      </w:r>
      <w:r w:rsidRPr="00B558D1">
        <w:rPr>
          <w:rFonts w:ascii="Arial" w:hAnsi="Arial" w:cs="Arial"/>
        </w:rPr>
        <w:t xml:space="preserve"> National Planning Practice Guide, Paragraph: 036 Reference ID: 13-036-20140306, Revision date: 18 09 2020</w:t>
      </w:r>
    </w:p>
  </w:footnote>
  <w:footnote w:id="2">
    <w:p w14:paraId="081DE03F" w14:textId="77777777" w:rsidR="00A278D5" w:rsidRPr="00B558D1" w:rsidRDefault="00A278D5">
      <w:pPr>
        <w:pStyle w:val="FootnoteText"/>
        <w:rPr>
          <w:rFonts w:ascii="Arial" w:hAnsi="Arial" w:cs="Arial"/>
        </w:rPr>
      </w:pPr>
      <w:r w:rsidRPr="00B558D1">
        <w:rPr>
          <w:rStyle w:val="FootnoteReference"/>
          <w:rFonts w:ascii="Arial" w:hAnsi="Arial" w:cs="Arial"/>
        </w:rPr>
        <w:footnoteRef/>
      </w:r>
      <w:r w:rsidRPr="00B558D1">
        <w:rPr>
          <w:rFonts w:ascii="Arial" w:hAnsi="Arial" w:cs="Arial"/>
        </w:rPr>
        <w:t xml:space="preserve"> Town and Country Planning Act 1990 (legislation.gov.uk)</w:t>
      </w:r>
    </w:p>
  </w:footnote>
  <w:footnote w:id="3">
    <w:p w14:paraId="7D3072C0" w14:textId="77777777" w:rsidR="00A278D5" w:rsidRPr="00B558D1" w:rsidRDefault="00A278D5">
      <w:pPr>
        <w:pStyle w:val="FootnoteText"/>
        <w:rPr>
          <w:rFonts w:ascii="Arial" w:hAnsi="Arial" w:cs="Arial"/>
        </w:rPr>
      </w:pPr>
      <w:r w:rsidRPr="00B558D1">
        <w:rPr>
          <w:rStyle w:val="FootnoteReference"/>
          <w:rFonts w:ascii="Arial" w:hAnsi="Arial" w:cs="Arial"/>
        </w:rPr>
        <w:footnoteRef/>
      </w:r>
      <w:r w:rsidRPr="00B558D1">
        <w:rPr>
          <w:rFonts w:ascii="Arial" w:hAnsi="Arial" w:cs="Arial"/>
        </w:rPr>
        <w:t xml:space="preserve"> Town and Country Planning (Compensation) (England) Regulations 2015; source: www.legislation.gov.uk/uksi/2015/598/contents</w:t>
      </w:r>
    </w:p>
  </w:footnote>
  <w:footnote w:id="4">
    <w:p w14:paraId="46AF33D9" w14:textId="77777777" w:rsidR="00A278D5" w:rsidRPr="00B558D1" w:rsidRDefault="00A278D5">
      <w:pPr>
        <w:pStyle w:val="FootnoteText"/>
        <w:rPr>
          <w:rFonts w:ascii="Arial" w:hAnsi="Arial" w:cs="Arial"/>
          <w:lang w:val="en-US"/>
        </w:rPr>
      </w:pPr>
      <w:r w:rsidRPr="00B558D1">
        <w:rPr>
          <w:rStyle w:val="FootnoteReference"/>
          <w:rFonts w:ascii="Arial" w:hAnsi="Arial" w:cs="Arial"/>
        </w:rPr>
        <w:footnoteRef/>
      </w:r>
      <w:r w:rsidRPr="00B558D1">
        <w:rPr>
          <w:rFonts w:ascii="Arial" w:hAnsi="Arial" w:cs="Arial"/>
        </w:rPr>
        <w:t xml:space="preserve"> </w:t>
      </w:r>
      <w:r w:rsidRPr="00B558D1">
        <w:rPr>
          <w:rFonts w:ascii="Arial" w:hAnsi="Arial" w:cs="Arial"/>
          <w:lang w:val="en-US"/>
        </w:rPr>
        <w:t xml:space="preserve">Source: </w:t>
      </w:r>
      <w:r w:rsidRPr="00B558D1">
        <w:rPr>
          <w:rFonts w:ascii="Arial" w:hAnsi="Arial" w:cs="Arial"/>
        </w:rPr>
        <w:t>Evidence Gathering –Housing in Multiple Occupation and Possible Planning Responses – Final Report, Department of Community and Local Government (Published September 2008)</w:t>
      </w:r>
    </w:p>
  </w:footnote>
  <w:footnote w:id="5">
    <w:p w14:paraId="584D5520" w14:textId="77777777" w:rsidR="004A4F0C" w:rsidRPr="00B558D1" w:rsidRDefault="004A4F0C" w:rsidP="004A4F0C">
      <w:pPr>
        <w:pStyle w:val="FootnoteText"/>
        <w:rPr>
          <w:rFonts w:ascii="Arial" w:hAnsi="Arial" w:cs="Arial"/>
          <w:lang w:val="en-US"/>
        </w:rPr>
      </w:pPr>
      <w:r w:rsidRPr="00B558D1">
        <w:rPr>
          <w:rStyle w:val="FootnoteReference"/>
          <w:rFonts w:ascii="Arial" w:hAnsi="Arial" w:cs="Arial"/>
        </w:rPr>
        <w:footnoteRef/>
      </w:r>
      <w:r w:rsidRPr="00B558D1">
        <w:rPr>
          <w:rFonts w:ascii="Arial" w:hAnsi="Arial" w:cs="Arial"/>
        </w:rPr>
        <w:t xml:space="preserve"> </w:t>
      </w:r>
      <w:r w:rsidRPr="00B558D1">
        <w:rPr>
          <w:rFonts w:ascii="Arial" w:hAnsi="Arial" w:cs="Arial"/>
          <w:lang w:val="en-US"/>
        </w:rPr>
        <w:t>Source: Blackburn &amp; Darwen Article 4 Direction (2022 Update) Removal of Permitted Development Rights for the Change of Use from Use Class C3 (dwelling-houses) to C4 (HMOs) Background Document – Context, Evidence and Justification Paper</w:t>
      </w:r>
    </w:p>
  </w:footnote>
  <w:footnote w:id="6">
    <w:p w14:paraId="29C78976" w14:textId="77777777" w:rsidR="004A4F0C" w:rsidRPr="00B558D1" w:rsidRDefault="004A4F0C" w:rsidP="004A4F0C">
      <w:pPr>
        <w:pStyle w:val="FootnoteText"/>
        <w:rPr>
          <w:rFonts w:ascii="Arial" w:hAnsi="Arial" w:cs="Arial"/>
          <w:lang w:val="en-US"/>
        </w:rPr>
      </w:pPr>
      <w:r w:rsidRPr="00B558D1">
        <w:rPr>
          <w:rStyle w:val="FootnoteReference"/>
          <w:rFonts w:ascii="Arial" w:hAnsi="Arial" w:cs="Arial"/>
        </w:rPr>
        <w:footnoteRef/>
      </w:r>
      <w:r w:rsidRPr="00B558D1">
        <w:rPr>
          <w:rFonts w:ascii="Arial" w:hAnsi="Arial" w:cs="Arial"/>
        </w:rPr>
        <w:t xml:space="preserve"> </w:t>
      </w:r>
      <w:r w:rsidRPr="00B558D1">
        <w:rPr>
          <w:rFonts w:ascii="Arial" w:hAnsi="Arial" w:cs="Arial"/>
          <w:lang w:val="en-US"/>
        </w:rPr>
        <w:t>Source: Article 4 Direction for the Removal of Permitted Development Right for the Change of Use for Use Class C3 (dwellinghouses) to C4 Houses in Multiple Occupation (HMOs), October 2023</w:t>
      </w:r>
    </w:p>
  </w:footnote>
  <w:footnote w:id="7">
    <w:p w14:paraId="061DB04C" w14:textId="77777777" w:rsidR="00A278D5" w:rsidRPr="00B558D1" w:rsidRDefault="00A278D5">
      <w:pPr>
        <w:pStyle w:val="FootnoteText"/>
        <w:rPr>
          <w:rFonts w:ascii="Arial" w:hAnsi="Arial" w:cs="Arial"/>
          <w:lang w:val="en-US"/>
        </w:rPr>
      </w:pPr>
      <w:r w:rsidRPr="00B558D1">
        <w:rPr>
          <w:rStyle w:val="FootnoteReference"/>
          <w:rFonts w:ascii="Arial" w:hAnsi="Arial" w:cs="Arial"/>
        </w:rPr>
        <w:footnoteRef/>
      </w:r>
      <w:r w:rsidRPr="00B558D1">
        <w:rPr>
          <w:rFonts w:ascii="Arial" w:hAnsi="Arial" w:cs="Arial"/>
        </w:rPr>
        <w:t xml:space="preserve"> </w:t>
      </w:r>
      <w:r w:rsidRPr="00B558D1">
        <w:rPr>
          <w:rFonts w:ascii="Arial" w:hAnsi="Arial" w:cs="Arial"/>
          <w:lang w:val="en-US"/>
        </w:rPr>
        <w:t>Source: UK House Price Index England: July 2024 (Published 18</w:t>
      </w:r>
      <w:r w:rsidRPr="00B558D1">
        <w:rPr>
          <w:rFonts w:ascii="Arial" w:hAnsi="Arial" w:cs="Arial"/>
          <w:vertAlign w:val="superscript"/>
          <w:lang w:val="en-US"/>
        </w:rPr>
        <w:t>th</w:t>
      </w:r>
      <w:r w:rsidRPr="00B558D1">
        <w:rPr>
          <w:rFonts w:ascii="Arial" w:hAnsi="Arial" w:cs="Arial"/>
          <w:lang w:val="en-US"/>
        </w:rPr>
        <w:t xml:space="preserve"> September 2024); https://www.gov.uk/government/statistics/uk-house-price-index-for-july-2024/uk-house-price-index-england-july-2024</w:t>
      </w:r>
    </w:p>
  </w:footnote>
  <w:footnote w:id="8">
    <w:p w14:paraId="7E5F4893" w14:textId="77777777" w:rsidR="00A278D5" w:rsidRPr="00EE6F2C" w:rsidRDefault="00A278D5">
      <w:pPr>
        <w:pStyle w:val="FootnoteText"/>
        <w:rPr>
          <w:rFonts w:ascii="Arial" w:hAnsi="Arial" w:cs="Arial"/>
          <w:lang w:val="en-US"/>
        </w:rPr>
      </w:pPr>
      <w:r w:rsidRPr="00EE6F2C">
        <w:rPr>
          <w:rStyle w:val="FootnoteReference"/>
          <w:rFonts w:ascii="Arial" w:hAnsi="Arial" w:cs="Arial"/>
        </w:rPr>
        <w:footnoteRef/>
      </w:r>
      <w:r w:rsidRPr="00EE6F2C">
        <w:rPr>
          <w:rFonts w:ascii="Arial" w:hAnsi="Arial" w:cs="Arial"/>
        </w:rPr>
        <w:t xml:space="preserve"> </w:t>
      </w:r>
      <w:r w:rsidRPr="00EE6F2C">
        <w:rPr>
          <w:rFonts w:ascii="Arial" w:hAnsi="Arial" w:cs="Arial"/>
          <w:lang w:val="en-US"/>
        </w:rPr>
        <w:t xml:space="preserve">Source: </w:t>
      </w:r>
      <w:hyperlink r:id="rId1" w:history="1">
        <w:r w:rsidRPr="00EE6F2C">
          <w:rPr>
            <w:rStyle w:val="Hyperlink"/>
            <w:rFonts w:ascii="Arial" w:hAnsi="Arial" w:cs="Arial"/>
            <w:color w:val="000000" w:themeColor="text1"/>
            <w:u w:val="none"/>
          </w:rPr>
          <w:t>English indices of deprivation 2019: technical report</w:t>
        </w:r>
      </w:hyperlink>
      <w:r w:rsidRPr="00EE6F2C">
        <w:rPr>
          <w:rFonts w:ascii="Arial" w:hAnsi="Arial" w:cs="Arial"/>
          <w:color w:val="000000" w:themeColor="text1"/>
          <w:lang w:val="en-US"/>
        </w:rPr>
        <w:t>; https://www.gov.uk/government/publications/english-indices-of-deprivation-2019-technical-report</w:t>
      </w:r>
    </w:p>
  </w:footnote>
  <w:footnote w:id="9">
    <w:p w14:paraId="4B1C9DFE" w14:textId="68583178" w:rsidR="007022D5" w:rsidRPr="007022D5" w:rsidRDefault="007022D5">
      <w:pPr>
        <w:pStyle w:val="FootnoteText"/>
        <w:rPr>
          <w:lang w:val="en-US"/>
        </w:rPr>
      </w:pPr>
      <w:r>
        <w:rPr>
          <w:rStyle w:val="FootnoteReference"/>
        </w:rPr>
        <w:footnoteRef/>
      </w:r>
      <w:r>
        <w:t xml:space="preserve"> </w:t>
      </w:r>
      <w:r>
        <w:rPr>
          <w:lang w:val="en-US"/>
        </w:rPr>
        <w:t>ONS Population Estimates 7</w:t>
      </w:r>
      <w:r w:rsidRPr="007022D5">
        <w:rPr>
          <w:vertAlign w:val="superscript"/>
          <w:lang w:val="en-US"/>
        </w:rPr>
        <w:t>th</w:t>
      </w:r>
      <w:r>
        <w:rPr>
          <w:lang w:val="en-US"/>
        </w:rPr>
        <w:t xml:space="preserve"> November 2025</w:t>
      </w:r>
    </w:p>
  </w:footnote>
  <w:footnote w:id="10">
    <w:p w14:paraId="71A00D55" w14:textId="78532FDB" w:rsidR="00A278D5" w:rsidRPr="002411ED" w:rsidRDefault="00A278D5">
      <w:pPr>
        <w:pStyle w:val="FootnoteText"/>
        <w:rPr>
          <w:rFonts w:ascii="Arial" w:hAnsi="Arial" w:cs="Arial"/>
          <w:lang w:val="en-US"/>
        </w:rPr>
      </w:pPr>
      <w:r w:rsidRPr="002411ED">
        <w:rPr>
          <w:rStyle w:val="FootnoteReference"/>
          <w:rFonts w:ascii="Arial" w:hAnsi="Arial" w:cs="Arial"/>
        </w:rPr>
        <w:footnoteRef/>
      </w:r>
      <w:r w:rsidRPr="002411ED">
        <w:rPr>
          <w:rFonts w:ascii="Arial" w:hAnsi="Arial" w:cs="Arial"/>
        </w:rPr>
        <w:t xml:space="preserve"> </w:t>
      </w:r>
      <w:r w:rsidRPr="002411ED">
        <w:rPr>
          <w:rFonts w:ascii="Arial" w:hAnsi="Arial" w:cs="Arial"/>
          <w:lang w:val="en-US"/>
        </w:rPr>
        <w:t xml:space="preserve">Whilst good landlords will adequately maintain a building’s structure and fixtures and fitting, occupants may be less invested in the </w:t>
      </w:r>
      <w:r w:rsidR="00B639BF" w:rsidRPr="002411ED">
        <w:rPr>
          <w:rFonts w:ascii="Arial" w:hAnsi="Arial" w:cs="Arial"/>
          <w:lang w:val="en-US"/>
        </w:rPr>
        <w:t>property’s</w:t>
      </w:r>
      <w:r w:rsidRPr="002411ED">
        <w:rPr>
          <w:rFonts w:ascii="Arial" w:hAnsi="Arial" w:cs="Arial"/>
          <w:lang w:val="en-US"/>
        </w:rPr>
        <w:t xml:space="preserve"> presentation compared to someone who owns or rent</w:t>
      </w:r>
      <w:r w:rsidR="00B639BF">
        <w:rPr>
          <w:rFonts w:ascii="Arial" w:hAnsi="Arial" w:cs="Arial"/>
          <w:lang w:val="en-US"/>
        </w:rPr>
        <w:t>s</w:t>
      </w:r>
      <w:r w:rsidRPr="002411ED">
        <w:rPr>
          <w:rFonts w:ascii="Arial" w:hAnsi="Arial" w:cs="Arial"/>
          <w:lang w:val="en-US"/>
        </w:rPr>
        <w:t xml:space="preserve"> their own exclusive property/outdoor space. </w:t>
      </w:r>
    </w:p>
  </w:footnote>
  <w:footnote w:id="11">
    <w:p w14:paraId="242C72B6" w14:textId="77777777" w:rsidR="00A278D5" w:rsidRPr="00DE6AE2" w:rsidRDefault="00A278D5">
      <w:pPr>
        <w:pStyle w:val="FootnoteText"/>
        <w:rPr>
          <w:rFonts w:ascii="Arial" w:hAnsi="Arial" w:cs="Arial"/>
          <w:lang w:val="en-US"/>
        </w:rPr>
      </w:pPr>
      <w:r w:rsidRPr="00DE6AE2">
        <w:rPr>
          <w:rStyle w:val="FootnoteReference"/>
          <w:rFonts w:ascii="Arial" w:hAnsi="Arial" w:cs="Arial"/>
        </w:rPr>
        <w:footnoteRef/>
      </w:r>
      <w:r w:rsidRPr="00DE6AE2">
        <w:rPr>
          <w:rFonts w:ascii="Arial" w:hAnsi="Arial" w:cs="Arial"/>
        </w:rPr>
        <w:t xml:space="preserve"> </w:t>
      </w:r>
      <w:r w:rsidRPr="00DE6AE2">
        <w:rPr>
          <w:rFonts w:ascii="Arial" w:hAnsi="Arial" w:cs="Arial"/>
          <w:lang w:val="en-US"/>
        </w:rPr>
        <w:t xml:space="preserve">Source: Office of National Statistics, </w:t>
      </w:r>
      <w:hyperlink r:id="rId2" w:anchor="rent_price" w:history="1">
        <w:r w:rsidRPr="00DE6AE2">
          <w:rPr>
            <w:rStyle w:val="Hyperlink"/>
            <w:rFonts w:ascii="Arial" w:hAnsi="Arial" w:cs="Arial"/>
          </w:rPr>
          <w:t>Housing prices in Hyndburn (ons.gov.uk)</w:t>
        </w:r>
      </w:hyperlink>
    </w:p>
  </w:footnote>
  <w:footnote w:id="12">
    <w:p w14:paraId="4D3B22EA" w14:textId="77777777" w:rsidR="00A278D5" w:rsidRPr="00E67553" w:rsidRDefault="00A278D5">
      <w:pPr>
        <w:pStyle w:val="FootnoteText"/>
        <w:rPr>
          <w:lang w:val="en-US"/>
        </w:rPr>
      </w:pPr>
      <w:r>
        <w:rPr>
          <w:rStyle w:val="FootnoteReference"/>
        </w:rPr>
        <w:footnoteRef/>
      </w:r>
      <w:r w:rsidRPr="00E67553">
        <w:t>https://www.gov.uk/government/uploads/system/uploads/attachment_data/file/15652/HMO_Lic_landlords_guide.pdf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DB93" w14:textId="77777777" w:rsidR="00A278D5" w:rsidRDefault="00A278D5">
    <w:pPr>
      <w:pStyle w:val="Header"/>
    </w:pPr>
  </w:p>
  <w:p w14:paraId="2D0D6C1F" w14:textId="77777777" w:rsidR="00A278D5" w:rsidRDefault="00A27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A4F"/>
    <w:multiLevelType w:val="hybridMultilevel"/>
    <w:tmpl w:val="240C58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EF682D"/>
    <w:multiLevelType w:val="hybridMultilevel"/>
    <w:tmpl w:val="C5AAA4E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56E6CA6"/>
    <w:multiLevelType w:val="multilevel"/>
    <w:tmpl w:val="E5B61300"/>
    <w:lvl w:ilvl="0">
      <w:start w:val="5"/>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F40AF"/>
    <w:multiLevelType w:val="hybridMultilevel"/>
    <w:tmpl w:val="78D02F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7835D1E"/>
    <w:multiLevelType w:val="hybridMultilevel"/>
    <w:tmpl w:val="40C098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78B0D47"/>
    <w:multiLevelType w:val="multilevel"/>
    <w:tmpl w:val="0544530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C0933"/>
    <w:multiLevelType w:val="hybridMultilevel"/>
    <w:tmpl w:val="14D6DC8C"/>
    <w:lvl w:ilvl="0" w:tplc="09FC5254">
      <w:start w:val="3"/>
      <w:numFmt w:val="bullet"/>
      <w:lvlText w:val="-"/>
      <w:lvlJc w:val="left"/>
      <w:pPr>
        <w:ind w:left="1996" w:hanging="360"/>
      </w:pPr>
      <w:rPr>
        <w:rFonts w:ascii="Calibri" w:eastAsiaTheme="minorHAnsi" w:hAnsi="Calibri" w:cstheme="minorBidi"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15:restartNumberingAfterBreak="0">
    <w:nsid w:val="1DE6274B"/>
    <w:multiLevelType w:val="multilevel"/>
    <w:tmpl w:val="69904288"/>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C54B38"/>
    <w:multiLevelType w:val="multilevel"/>
    <w:tmpl w:val="E3BEA7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95522A"/>
    <w:multiLevelType w:val="hybridMultilevel"/>
    <w:tmpl w:val="9872BEC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0" w15:restartNumberingAfterBreak="0">
    <w:nsid w:val="298C114B"/>
    <w:multiLevelType w:val="hybridMultilevel"/>
    <w:tmpl w:val="4202B7A0"/>
    <w:lvl w:ilvl="0" w:tplc="E9027518">
      <w:start w:val="1"/>
      <w:numFmt w:val="lowerRoman"/>
      <w:lvlText w:val="%1."/>
      <w:lvlJc w:val="right"/>
      <w:pPr>
        <w:ind w:left="1004" w:hanging="360"/>
      </w:pPr>
      <w:rPr>
        <w:i w:val="0"/>
        <w:iCs/>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2BE76A5A"/>
    <w:multiLevelType w:val="hybridMultilevel"/>
    <w:tmpl w:val="A2E6004E"/>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12" w15:restartNumberingAfterBreak="0">
    <w:nsid w:val="2CAB551C"/>
    <w:multiLevelType w:val="hybridMultilevel"/>
    <w:tmpl w:val="B4082C1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FA20467"/>
    <w:multiLevelType w:val="hybridMultilevel"/>
    <w:tmpl w:val="112880FA"/>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14" w15:restartNumberingAfterBreak="0">
    <w:nsid w:val="348051CE"/>
    <w:multiLevelType w:val="hybridMultilevel"/>
    <w:tmpl w:val="3D60FCA4"/>
    <w:lvl w:ilvl="0" w:tplc="09FC5254">
      <w:start w:val="3"/>
      <w:numFmt w:val="bullet"/>
      <w:lvlText w:val="-"/>
      <w:lvlJc w:val="left"/>
      <w:pPr>
        <w:ind w:left="1429" w:hanging="360"/>
      </w:pPr>
      <w:rPr>
        <w:rFonts w:ascii="Calibri" w:eastAsiaTheme="minorHAnsi" w:hAnsi="Calibri"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A517C29"/>
    <w:multiLevelType w:val="hybridMultilevel"/>
    <w:tmpl w:val="4FCE08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A534DDF"/>
    <w:multiLevelType w:val="hybridMultilevel"/>
    <w:tmpl w:val="9872BEC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7" w15:restartNumberingAfterBreak="0">
    <w:nsid w:val="4157655D"/>
    <w:multiLevelType w:val="multilevel"/>
    <w:tmpl w:val="B6A6B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E52130"/>
    <w:multiLevelType w:val="multilevel"/>
    <w:tmpl w:val="059C86FC"/>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086908"/>
    <w:multiLevelType w:val="hybridMultilevel"/>
    <w:tmpl w:val="6E9C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A7D73"/>
    <w:multiLevelType w:val="hybridMultilevel"/>
    <w:tmpl w:val="F17828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D5D2F48"/>
    <w:multiLevelType w:val="multilevel"/>
    <w:tmpl w:val="AA4A688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F16790"/>
    <w:multiLevelType w:val="hybridMultilevel"/>
    <w:tmpl w:val="4B64C044"/>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4E3E6345"/>
    <w:multiLevelType w:val="hybridMultilevel"/>
    <w:tmpl w:val="1BD88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1A6496"/>
    <w:multiLevelType w:val="multilevel"/>
    <w:tmpl w:val="A3C07DF2"/>
    <w:lvl w:ilvl="0">
      <w:start w:val="6"/>
      <w:numFmt w:val="decimal"/>
      <w:lvlText w:val="%1."/>
      <w:lvlJc w:val="left"/>
      <w:pPr>
        <w:ind w:left="1429" w:hanging="360"/>
      </w:pPr>
      <w:rPr>
        <w:rFonts w:hint="default"/>
      </w:rPr>
    </w:lvl>
    <w:lvl w:ilvl="1">
      <w:start w:val="17"/>
      <w:numFmt w:val="decimal"/>
      <w:isLgl/>
      <w:lvlText w:val="%1.%2"/>
      <w:lvlJc w:val="left"/>
      <w:pPr>
        <w:ind w:left="560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50CB3D9F"/>
    <w:multiLevelType w:val="multilevel"/>
    <w:tmpl w:val="873EC330"/>
    <w:lvl w:ilvl="0">
      <w:start w:val="5"/>
      <w:numFmt w:val="decimal"/>
      <w:lvlText w:val="%1"/>
      <w:lvlJc w:val="left"/>
      <w:pPr>
        <w:ind w:left="420" w:hanging="420"/>
      </w:pPr>
      <w:rPr>
        <w:rFonts w:hint="default"/>
      </w:rPr>
    </w:lvl>
    <w:lvl w:ilvl="1">
      <w:start w:val="5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311C90"/>
    <w:multiLevelType w:val="hybridMultilevel"/>
    <w:tmpl w:val="007A8112"/>
    <w:lvl w:ilvl="0" w:tplc="09FC5254">
      <w:start w:val="3"/>
      <w:numFmt w:val="bullet"/>
      <w:lvlText w:val="-"/>
      <w:lvlJc w:val="left"/>
      <w:pPr>
        <w:ind w:left="1996" w:hanging="360"/>
      </w:pPr>
      <w:rPr>
        <w:rFonts w:ascii="Calibri" w:eastAsiaTheme="minorHAnsi" w:hAnsi="Calibri" w:cstheme="minorBidi"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7" w15:restartNumberingAfterBreak="0">
    <w:nsid w:val="5D88692B"/>
    <w:multiLevelType w:val="hybridMultilevel"/>
    <w:tmpl w:val="DAA8E23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60951063"/>
    <w:multiLevelType w:val="multilevel"/>
    <w:tmpl w:val="AA4A688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3A24A2"/>
    <w:multiLevelType w:val="multilevel"/>
    <w:tmpl w:val="068A531E"/>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4444BF1"/>
    <w:multiLevelType w:val="hybridMultilevel"/>
    <w:tmpl w:val="22C07BC4"/>
    <w:lvl w:ilvl="0" w:tplc="09FC5254">
      <w:start w:val="3"/>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716A7F"/>
    <w:multiLevelType w:val="hybridMultilevel"/>
    <w:tmpl w:val="9B6616A4"/>
    <w:lvl w:ilvl="0" w:tplc="0809001B">
      <w:start w:val="1"/>
      <w:numFmt w:val="lowerRoman"/>
      <w:lvlText w:val="%1."/>
      <w:lvlJc w:val="righ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67741CB2"/>
    <w:multiLevelType w:val="multilevel"/>
    <w:tmpl w:val="F8F8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E661CD"/>
    <w:multiLevelType w:val="multilevel"/>
    <w:tmpl w:val="B33697CE"/>
    <w:lvl w:ilvl="0">
      <w:start w:val="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C326E1"/>
    <w:multiLevelType w:val="hybridMultilevel"/>
    <w:tmpl w:val="8840A8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0E6D34"/>
    <w:multiLevelType w:val="hybridMultilevel"/>
    <w:tmpl w:val="6A20CF3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6" w15:restartNumberingAfterBreak="0">
    <w:nsid w:val="7155226C"/>
    <w:multiLevelType w:val="hybridMultilevel"/>
    <w:tmpl w:val="AB9E81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1CB41BC"/>
    <w:multiLevelType w:val="multilevel"/>
    <w:tmpl w:val="FC980540"/>
    <w:lvl w:ilvl="0">
      <w:start w:val="3"/>
      <w:numFmt w:val="bullet"/>
      <w:lvlText w:val="-"/>
      <w:lvlJc w:val="left"/>
      <w:pPr>
        <w:ind w:left="720" w:hanging="360"/>
      </w:pPr>
      <w:rPr>
        <w:rFonts w:ascii="Calibri" w:eastAsiaTheme="minorHAnsi" w:hAnsi="Calibri" w:cstheme="minorBidi"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02533B"/>
    <w:multiLevelType w:val="hybridMultilevel"/>
    <w:tmpl w:val="8C1EE3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794B0FEE"/>
    <w:multiLevelType w:val="multilevel"/>
    <w:tmpl w:val="44F83480"/>
    <w:lvl w:ilvl="0">
      <w:start w:val="6"/>
      <w:numFmt w:val="decimal"/>
      <w:lvlText w:val="%1."/>
      <w:lvlJc w:val="left"/>
      <w:pPr>
        <w:ind w:left="1429" w:hanging="360"/>
      </w:pPr>
      <w:rPr>
        <w:rFonts w:hint="default"/>
      </w:rPr>
    </w:lvl>
    <w:lvl w:ilvl="1">
      <w:start w:val="20"/>
      <w:numFmt w:val="decimal"/>
      <w:isLgl/>
      <w:lvlText w:val="%1.%2"/>
      <w:lvlJc w:val="left"/>
      <w:pPr>
        <w:ind w:left="560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7D12748E"/>
    <w:multiLevelType w:val="multilevel"/>
    <w:tmpl w:val="C5CEE762"/>
    <w:lvl w:ilvl="0">
      <w:start w:val="6"/>
      <w:numFmt w:val="decimal"/>
      <w:lvlText w:val="%1."/>
      <w:lvlJc w:val="left"/>
      <w:pPr>
        <w:ind w:left="142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1" w15:restartNumberingAfterBreak="0">
    <w:nsid w:val="7DFF7C7F"/>
    <w:multiLevelType w:val="hybridMultilevel"/>
    <w:tmpl w:val="C65645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7E890FC7"/>
    <w:multiLevelType w:val="multilevel"/>
    <w:tmpl w:val="E938BA30"/>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FDB4A1A"/>
    <w:multiLevelType w:val="multilevel"/>
    <w:tmpl w:val="1682DD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4968514">
    <w:abstractNumId w:val="21"/>
  </w:num>
  <w:num w:numId="2" w16cid:durableId="865558909">
    <w:abstractNumId w:val="10"/>
  </w:num>
  <w:num w:numId="3" w16cid:durableId="641420612">
    <w:abstractNumId w:val="20"/>
  </w:num>
  <w:num w:numId="4" w16cid:durableId="819924969">
    <w:abstractNumId w:val="32"/>
  </w:num>
  <w:num w:numId="5" w16cid:durableId="1016081046">
    <w:abstractNumId w:val="4"/>
  </w:num>
  <w:num w:numId="6" w16cid:durableId="572397751">
    <w:abstractNumId w:val="38"/>
  </w:num>
  <w:num w:numId="7" w16cid:durableId="1809666651">
    <w:abstractNumId w:val="22"/>
  </w:num>
  <w:num w:numId="8" w16cid:durableId="1309897785">
    <w:abstractNumId w:val="31"/>
  </w:num>
  <w:num w:numId="9" w16cid:durableId="597980359">
    <w:abstractNumId w:val="13"/>
  </w:num>
  <w:num w:numId="10" w16cid:durableId="464350293">
    <w:abstractNumId w:val="11"/>
  </w:num>
  <w:num w:numId="11" w16cid:durableId="1848711532">
    <w:abstractNumId w:val="19"/>
  </w:num>
  <w:num w:numId="12" w16cid:durableId="1525290881">
    <w:abstractNumId w:val="40"/>
  </w:num>
  <w:num w:numId="13" w16cid:durableId="655498092">
    <w:abstractNumId w:val="43"/>
  </w:num>
  <w:num w:numId="14" w16cid:durableId="1111778483">
    <w:abstractNumId w:val="2"/>
  </w:num>
  <w:num w:numId="15" w16cid:durableId="1677877482">
    <w:abstractNumId w:val="1"/>
  </w:num>
  <w:num w:numId="16" w16cid:durableId="1917276449">
    <w:abstractNumId w:val="12"/>
  </w:num>
  <w:num w:numId="17" w16cid:durableId="390470328">
    <w:abstractNumId w:val="28"/>
  </w:num>
  <w:num w:numId="18" w16cid:durableId="924386677">
    <w:abstractNumId w:val="8"/>
  </w:num>
  <w:num w:numId="19" w16cid:durableId="1100832703">
    <w:abstractNumId w:val="5"/>
  </w:num>
  <w:num w:numId="20" w16cid:durableId="884752650">
    <w:abstractNumId w:val="37"/>
  </w:num>
  <w:num w:numId="21" w16cid:durableId="242034914">
    <w:abstractNumId w:val="36"/>
  </w:num>
  <w:num w:numId="22" w16cid:durableId="752121074">
    <w:abstractNumId w:val="0"/>
  </w:num>
  <w:num w:numId="23" w16cid:durableId="742719806">
    <w:abstractNumId w:val="16"/>
  </w:num>
  <w:num w:numId="24" w16cid:durableId="1988128513">
    <w:abstractNumId w:val="18"/>
  </w:num>
  <w:num w:numId="25" w16cid:durableId="1208374989">
    <w:abstractNumId w:val="17"/>
  </w:num>
  <w:num w:numId="26" w16cid:durableId="744837338">
    <w:abstractNumId w:val="30"/>
  </w:num>
  <w:num w:numId="27" w16cid:durableId="2071345754">
    <w:abstractNumId w:val="14"/>
  </w:num>
  <w:num w:numId="28" w16cid:durableId="309018884">
    <w:abstractNumId w:val="15"/>
  </w:num>
  <w:num w:numId="29" w16cid:durableId="1391999470">
    <w:abstractNumId w:val="27"/>
  </w:num>
  <w:num w:numId="30" w16cid:durableId="1686983766">
    <w:abstractNumId w:val="23"/>
  </w:num>
  <w:num w:numId="31" w16cid:durableId="38821714">
    <w:abstractNumId w:val="9"/>
  </w:num>
  <w:num w:numId="32" w16cid:durableId="1992824748">
    <w:abstractNumId w:val="6"/>
  </w:num>
  <w:num w:numId="33" w16cid:durableId="2004048396">
    <w:abstractNumId w:val="26"/>
  </w:num>
  <w:num w:numId="34" w16cid:durableId="533926065">
    <w:abstractNumId w:val="41"/>
  </w:num>
  <w:num w:numId="35" w16cid:durableId="232980725">
    <w:abstractNumId w:val="35"/>
  </w:num>
  <w:num w:numId="36" w16cid:durableId="2041977138">
    <w:abstractNumId w:val="24"/>
  </w:num>
  <w:num w:numId="37" w16cid:durableId="1320764873">
    <w:abstractNumId w:val="3"/>
  </w:num>
  <w:num w:numId="38" w16cid:durableId="1618902869">
    <w:abstractNumId w:val="25"/>
  </w:num>
  <w:num w:numId="39" w16cid:durableId="1835685859">
    <w:abstractNumId w:val="34"/>
  </w:num>
  <w:num w:numId="40" w16cid:durableId="1335768054">
    <w:abstractNumId w:val="33"/>
  </w:num>
  <w:num w:numId="41" w16cid:durableId="678121187">
    <w:abstractNumId w:val="42"/>
  </w:num>
  <w:num w:numId="42" w16cid:durableId="1757550936">
    <w:abstractNumId w:val="7"/>
  </w:num>
  <w:num w:numId="43" w16cid:durableId="873887644">
    <w:abstractNumId w:val="39"/>
  </w:num>
  <w:num w:numId="44" w16cid:durableId="615058955">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18"/>
    <w:rsid w:val="0000018E"/>
    <w:rsid w:val="00001554"/>
    <w:rsid w:val="00007D12"/>
    <w:rsid w:val="00021603"/>
    <w:rsid w:val="00023D23"/>
    <w:rsid w:val="00027F0D"/>
    <w:rsid w:val="00030BD4"/>
    <w:rsid w:val="00031722"/>
    <w:rsid w:val="00034BAC"/>
    <w:rsid w:val="000404FE"/>
    <w:rsid w:val="00040897"/>
    <w:rsid w:val="00041A50"/>
    <w:rsid w:val="00060980"/>
    <w:rsid w:val="0006293D"/>
    <w:rsid w:val="00065F26"/>
    <w:rsid w:val="00070BC2"/>
    <w:rsid w:val="0007474B"/>
    <w:rsid w:val="00085A56"/>
    <w:rsid w:val="00097572"/>
    <w:rsid w:val="000A617D"/>
    <w:rsid w:val="000B1B3E"/>
    <w:rsid w:val="000B259C"/>
    <w:rsid w:val="000C014C"/>
    <w:rsid w:val="000C73AE"/>
    <w:rsid w:val="000E1193"/>
    <w:rsid w:val="000E2225"/>
    <w:rsid w:val="000F4641"/>
    <w:rsid w:val="000F4AE3"/>
    <w:rsid w:val="000F753F"/>
    <w:rsid w:val="001008B2"/>
    <w:rsid w:val="001026E9"/>
    <w:rsid w:val="00115434"/>
    <w:rsid w:val="00120989"/>
    <w:rsid w:val="00120E4D"/>
    <w:rsid w:val="00123F42"/>
    <w:rsid w:val="001272BE"/>
    <w:rsid w:val="00130D6F"/>
    <w:rsid w:val="00131A07"/>
    <w:rsid w:val="00132F6A"/>
    <w:rsid w:val="001414E8"/>
    <w:rsid w:val="00141720"/>
    <w:rsid w:val="00141F93"/>
    <w:rsid w:val="00142085"/>
    <w:rsid w:val="0014419B"/>
    <w:rsid w:val="001447EB"/>
    <w:rsid w:val="001500BD"/>
    <w:rsid w:val="0015244C"/>
    <w:rsid w:val="001529C4"/>
    <w:rsid w:val="001602BE"/>
    <w:rsid w:val="00161BCB"/>
    <w:rsid w:val="00163519"/>
    <w:rsid w:val="00165057"/>
    <w:rsid w:val="00172EF5"/>
    <w:rsid w:val="00173266"/>
    <w:rsid w:val="00174585"/>
    <w:rsid w:val="00184146"/>
    <w:rsid w:val="00184A2C"/>
    <w:rsid w:val="00190741"/>
    <w:rsid w:val="001A2585"/>
    <w:rsid w:val="001A7A52"/>
    <w:rsid w:val="001B543A"/>
    <w:rsid w:val="001B6DB6"/>
    <w:rsid w:val="001C078A"/>
    <w:rsid w:val="001D0271"/>
    <w:rsid w:val="001D1A63"/>
    <w:rsid w:val="001D46DE"/>
    <w:rsid w:val="001D779B"/>
    <w:rsid w:val="001E1B7F"/>
    <w:rsid w:val="001E3658"/>
    <w:rsid w:val="001E49AE"/>
    <w:rsid w:val="001E6012"/>
    <w:rsid w:val="001F39D5"/>
    <w:rsid w:val="001F3E1A"/>
    <w:rsid w:val="001F4BC1"/>
    <w:rsid w:val="001F5092"/>
    <w:rsid w:val="001F6D74"/>
    <w:rsid w:val="001F7B54"/>
    <w:rsid w:val="0020397E"/>
    <w:rsid w:val="00211502"/>
    <w:rsid w:val="00211F3B"/>
    <w:rsid w:val="002128CA"/>
    <w:rsid w:val="00216E14"/>
    <w:rsid w:val="00217683"/>
    <w:rsid w:val="00221128"/>
    <w:rsid w:val="00226C54"/>
    <w:rsid w:val="00232176"/>
    <w:rsid w:val="0023289B"/>
    <w:rsid w:val="00240414"/>
    <w:rsid w:val="002411ED"/>
    <w:rsid w:val="00241953"/>
    <w:rsid w:val="00243094"/>
    <w:rsid w:val="0025126C"/>
    <w:rsid w:val="002516F0"/>
    <w:rsid w:val="0025183B"/>
    <w:rsid w:val="00257013"/>
    <w:rsid w:val="00260064"/>
    <w:rsid w:val="00260729"/>
    <w:rsid w:val="00261036"/>
    <w:rsid w:val="00266A1B"/>
    <w:rsid w:val="0027334C"/>
    <w:rsid w:val="00273B22"/>
    <w:rsid w:val="002770C7"/>
    <w:rsid w:val="00280B21"/>
    <w:rsid w:val="00281C57"/>
    <w:rsid w:val="0028270A"/>
    <w:rsid w:val="00284709"/>
    <w:rsid w:val="0028564E"/>
    <w:rsid w:val="00287E53"/>
    <w:rsid w:val="002958E1"/>
    <w:rsid w:val="002A4BEE"/>
    <w:rsid w:val="002A7765"/>
    <w:rsid w:val="002A7CB3"/>
    <w:rsid w:val="002B41DE"/>
    <w:rsid w:val="002B5EB6"/>
    <w:rsid w:val="002B67A5"/>
    <w:rsid w:val="002C0457"/>
    <w:rsid w:val="002C5BCC"/>
    <w:rsid w:val="002C5D45"/>
    <w:rsid w:val="002D41B1"/>
    <w:rsid w:val="002D60E8"/>
    <w:rsid w:val="002E3632"/>
    <w:rsid w:val="002E3E73"/>
    <w:rsid w:val="002E4B01"/>
    <w:rsid w:val="002E5D00"/>
    <w:rsid w:val="002E65DE"/>
    <w:rsid w:val="002E6C07"/>
    <w:rsid w:val="002F0192"/>
    <w:rsid w:val="002F1040"/>
    <w:rsid w:val="00300643"/>
    <w:rsid w:val="00304648"/>
    <w:rsid w:val="00307DFC"/>
    <w:rsid w:val="003110CF"/>
    <w:rsid w:val="00311BE0"/>
    <w:rsid w:val="00316A01"/>
    <w:rsid w:val="0031708C"/>
    <w:rsid w:val="0032327E"/>
    <w:rsid w:val="00323F54"/>
    <w:rsid w:val="00324069"/>
    <w:rsid w:val="0032627D"/>
    <w:rsid w:val="00326632"/>
    <w:rsid w:val="003268A7"/>
    <w:rsid w:val="00326C5D"/>
    <w:rsid w:val="0034034E"/>
    <w:rsid w:val="003416A6"/>
    <w:rsid w:val="00344361"/>
    <w:rsid w:val="00345089"/>
    <w:rsid w:val="00353190"/>
    <w:rsid w:val="00354167"/>
    <w:rsid w:val="0035601F"/>
    <w:rsid w:val="003578F4"/>
    <w:rsid w:val="003603EF"/>
    <w:rsid w:val="00363D0D"/>
    <w:rsid w:val="00364F91"/>
    <w:rsid w:val="00365EAD"/>
    <w:rsid w:val="00371274"/>
    <w:rsid w:val="00371871"/>
    <w:rsid w:val="00371F91"/>
    <w:rsid w:val="00372018"/>
    <w:rsid w:val="00375328"/>
    <w:rsid w:val="00385AFB"/>
    <w:rsid w:val="003876C4"/>
    <w:rsid w:val="003903E2"/>
    <w:rsid w:val="00393ACA"/>
    <w:rsid w:val="00395CF7"/>
    <w:rsid w:val="003A0AEB"/>
    <w:rsid w:val="003A12D7"/>
    <w:rsid w:val="003B07E8"/>
    <w:rsid w:val="003B76AF"/>
    <w:rsid w:val="003B7939"/>
    <w:rsid w:val="003C4E2D"/>
    <w:rsid w:val="003C7AF8"/>
    <w:rsid w:val="003E236A"/>
    <w:rsid w:val="003E3A78"/>
    <w:rsid w:val="003E70FC"/>
    <w:rsid w:val="003F39D7"/>
    <w:rsid w:val="003F435E"/>
    <w:rsid w:val="003F458B"/>
    <w:rsid w:val="003F79BC"/>
    <w:rsid w:val="00407680"/>
    <w:rsid w:val="00410C49"/>
    <w:rsid w:val="0041654A"/>
    <w:rsid w:val="004168B0"/>
    <w:rsid w:val="00416A25"/>
    <w:rsid w:val="004210F6"/>
    <w:rsid w:val="0042478F"/>
    <w:rsid w:val="00427658"/>
    <w:rsid w:val="00427AFA"/>
    <w:rsid w:val="00430DAA"/>
    <w:rsid w:val="0043327C"/>
    <w:rsid w:val="00433904"/>
    <w:rsid w:val="004370C9"/>
    <w:rsid w:val="0043777D"/>
    <w:rsid w:val="00446F6E"/>
    <w:rsid w:val="00451DAC"/>
    <w:rsid w:val="00455DC8"/>
    <w:rsid w:val="00465E75"/>
    <w:rsid w:val="00467AFB"/>
    <w:rsid w:val="00470B38"/>
    <w:rsid w:val="00470FEE"/>
    <w:rsid w:val="004770FF"/>
    <w:rsid w:val="00481B94"/>
    <w:rsid w:val="0048381B"/>
    <w:rsid w:val="00483C6B"/>
    <w:rsid w:val="004918DE"/>
    <w:rsid w:val="004961A8"/>
    <w:rsid w:val="00497BD4"/>
    <w:rsid w:val="004A0046"/>
    <w:rsid w:val="004A11FE"/>
    <w:rsid w:val="004A27BA"/>
    <w:rsid w:val="004A3A46"/>
    <w:rsid w:val="004A44CC"/>
    <w:rsid w:val="004A4F0C"/>
    <w:rsid w:val="004B3A39"/>
    <w:rsid w:val="004C00EC"/>
    <w:rsid w:val="004C0C83"/>
    <w:rsid w:val="004C1CC3"/>
    <w:rsid w:val="004C28B1"/>
    <w:rsid w:val="004C2D3E"/>
    <w:rsid w:val="004C59AF"/>
    <w:rsid w:val="004C64A4"/>
    <w:rsid w:val="004D0019"/>
    <w:rsid w:val="004D4D6B"/>
    <w:rsid w:val="004D535A"/>
    <w:rsid w:val="004D691C"/>
    <w:rsid w:val="004D6DC6"/>
    <w:rsid w:val="004D6EB8"/>
    <w:rsid w:val="004D75DB"/>
    <w:rsid w:val="004E1B00"/>
    <w:rsid w:val="004E39BD"/>
    <w:rsid w:val="004E6224"/>
    <w:rsid w:val="004E78D8"/>
    <w:rsid w:val="004F4C60"/>
    <w:rsid w:val="004F6A76"/>
    <w:rsid w:val="005145D0"/>
    <w:rsid w:val="005353C9"/>
    <w:rsid w:val="005444B1"/>
    <w:rsid w:val="00544A5B"/>
    <w:rsid w:val="00546DE1"/>
    <w:rsid w:val="00550C20"/>
    <w:rsid w:val="00550EFE"/>
    <w:rsid w:val="00555DC7"/>
    <w:rsid w:val="005561A3"/>
    <w:rsid w:val="00556661"/>
    <w:rsid w:val="00563487"/>
    <w:rsid w:val="00571EC2"/>
    <w:rsid w:val="00573533"/>
    <w:rsid w:val="00573B28"/>
    <w:rsid w:val="00583017"/>
    <w:rsid w:val="00586264"/>
    <w:rsid w:val="005874A5"/>
    <w:rsid w:val="005926EA"/>
    <w:rsid w:val="00593374"/>
    <w:rsid w:val="0059423D"/>
    <w:rsid w:val="00594F59"/>
    <w:rsid w:val="005967FA"/>
    <w:rsid w:val="00596E6E"/>
    <w:rsid w:val="005A0C7E"/>
    <w:rsid w:val="005A2D55"/>
    <w:rsid w:val="005A67A8"/>
    <w:rsid w:val="005A6815"/>
    <w:rsid w:val="005B12C0"/>
    <w:rsid w:val="005B1B27"/>
    <w:rsid w:val="005B24FA"/>
    <w:rsid w:val="005B38E3"/>
    <w:rsid w:val="005C5824"/>
    <w:rsid w:val="005C5ACD"/>
    <w:rsid w:val="005D1767"/>
    <w:rsid w:val="005D2283"/>
    <w:rsid w:val="005D471C"/>
    <w:rsid w:val="005D6C10"/>
    <w:rsid w:val="005E0E91"/>
    <w:rsid w:val="005E1B2F"/>
    <w:rsid w:val="005E6319"/>
    <w:rsid w:val="005F546D"/>
    <w:rsid w:val="005F5D83"/>
    <w:rsid w:val="005F6DCD"/>
    <w:rsid w:val="005F74A9"/>
    <w:rsid w:val="006012E2"/>
    <w:rsid w:val="00603F92"/>
    <w:rsid w:val="00605F6A"/>
    <w:rsid w:val="00605FD6"/>
    <w:rsid w:val="00606EE3"/>
    <w:rsid w:val="00617531"/>
    <w:rsid w:val="006201C6"/>
    <w:rsid w:val="00622F72"/>
    <w:rsid w:val="00624C24"/>
    <w:rsid w:val="00624F3E"/>
    <w:rsid w:val="006301C0"/>
    <w:rsid w:val="00635F91"/>
    <w:rsid w:val="006405D9"/>
    <w:rsid w:val="00640DDB"/>
    <w:rsid w:val="00642913"/>
    <w:rsid w:val="006437FE"/>
    <w:rsid w:val="006507A3"/>
    <w:rsid w:val="006544B8"/>
    <w:rsid w:val="006574F0"/>
    <w:rsid w:val="006646F4"/>
    <w:rsid w:val="00665FFD"/>
    <w:rsid w:val="006663A9"/>
    <w:rsid w:val="00672263"/>
    <w:rsid w:val="00673209"/>
    <w:rsid w:val="00677644"/>
    <w:rsid w:val="006900F2"/>
    <w:rsid w:val="006930E2"/>
    <w:rsid w:val="00696A47"/>
    <w:rsid w:val="006A04BA"/>
    <w:rsid w:val="006A0D07"/>
    <w:rsid w:val="006A7331"/>
    <w:rsid w:val="006B2DDD"/>
    <w:rsid w:val="006B45B5"/>
    <w:rsid w:val="006B75E6"/>
    <w:rsid w:val="006B7BF0"/>
    <w:rsid w:val="006C374F"/>
    <w:rsid w:val="006C4D87"/>
    <w:rsid w:val="006C7C71"/>
    <w:rsid w:val="006D675C"/>
    <w:rsid w:val="006E2DE0"/>
    <w:rsid w:val="006F2054"/>
    <w:rsid w:val="006F299F"/>
    <w:rsid w:val="006F324F"/>
    <w:rsid w:val="006F659B"/>
    <w:rsid w:val="006F7F8A"/>
    <w:rsid w:val="007022D5"/>
    <w:rsid w:val="0070318E"/>
    <w:rsid w:val="0070431B"/>
    <w:rsid w:val="00705DD0"/>
    <w:rsid w:val="00707D8D"/>
    <w:rsid w:val="0071040F"/>
    <w:rsid w:val="007130AA"/>
    <w:rsid w:val="007211E6"/>
    <w:rsid w:val="00722476"/>
    <w:rsid w:val="00734061"/>
    <w:rsid w:val="0073456A"/>
    <w:rsid w:val="007363A0"/>
    <w:rsid w:val="00736873"/>
    <w:rsid w:val="007434AA"/>
    <w:rsid w:val="007533B9"/>
    <w:rsid w:val="007548CE"/>
    <w:rsid w:val="00754EDE"/>
    <w:rsid w:val="0075592A"/>
    <w:rsid w:val="00763FBD"/>
    <w:rsid w:val="00765F3F"/>
    <w:rsid w:val="00772F81"/>
    <w:rsid w:val="007760F1"/>
    <w:rsid w:val="00783EB2"/>
    <w:rsid w:val="007842DE"/>
    <w:rsid w:val="00792C84"/>
    <w:rsid w:val="007A2B0C"/>
    <w:rsid w:val="007A2C41"/>
    <w:rsid w:val="007A76A4"/>
    <w:rsid w:val="007B3198"/>
    <w:rsid w:val="007B5B85"/>
    <w:rsid w:val="007C1655"/>
    <w:rsid w:val="007C24EA"/>
    <w:rsid w:val="007D2F66"/>
    <w:rsid w:val="007D4457"/>
    <w:rsid w:val="007E0E00"/>
    <w:rsid w:val="007E399B"/>
    <w:rsid w:val="007F09A3"/>
    <w:rsid w:val="007F4F8F"/>
    <w:rsid w:val="007F5AB3"/>
    <w:rsid w:val="007F79E3"/>
    <w:rsid w:val="008002F8"/>
    <w:rsid w:val="008024EA"/>
    <w:rsid w:val="0080440C"/>
    <w:rsid w:val="0080650A"/>
    <w:rsid w:val="008107D4"/>
    <w:rsid w:val="00811838"/>
    <w:rsid w:val="00816587"/>
    <w:rsid w:val="008234ED"/>
    <w:rsid w:val="00827F9B"/>
    <w:rsid w:val="0084096A"/>
    <w:rsid w:val="00841801"/>
    <w:rsid w:val="00846194"/>
    <w:rsid w:val="0084770A"/>
    <w:rsid w:val="00850765"/>
    <w:rsid w:val="00850D84"/>
    <w:rsid w:val="00851D05"/>
    <w:rsid w:val="00852AB1"/>
    <w:rsid w:val="00852BD6"/>
    <w:rsid w:val="00853E8C"/>
    <w:rsid w:val="008570E0"/>
    <w:rsid w:val="008607B8"/>
    <w:rsid w:val="008619CF"/>
    <w:rsid w:val="008639E8"/>
    <w:rsid w:val="0087290A"/>
    <w:rsid w:val="00873E12"/>
    <w:rsid w:val="00875AA4"/>
    <w:rsid w:val="00876261"/>
    <w:rsid w:val="00880A21"/>
    <w:rsid w:val="00880E8F"/>
    <w:rsid w:val="008826B8"/>
    <w:rsid w:val="008916BC"/>
    <w:rsid w:val="008943E1"/>
    <w:rsid w:val="00896F7D"/>
    <w:rsid w:val="00897643"/>
    <w:rsid w:val="00897E15"/>
    <w:rsid w:val="008A3981"/>
    <w:rsid w:val="008A3E6E"/>
    <w:rsid w:val="008B0E19"/>
    <w:rsid w:val="008B238C"/>
    <w:rsid w:val="008B4538"/>
    <w:rsid w:val="008B4CE3"/>
    <w:rsid w:val="008B5FD1"/>
    <w:rsid w:val="008D5881"/>
    <w:rsid w:val="008D5D15"/>
    <w:rsid w:val="008D6118"/>
    <w:rsid w:val="008E0EAC"/>
    <w:rsid w:val="008E19AD"/>
    <w:rsid w:val="008E573B"/>
    <w:rsid w:val="008E6FE3"/>
    <w:rsid w:val="008E774F"/>
    <w:rsid w:val="008E7A37"/>
    <w:rsid w:val="008F1451"/>
    <w:rsid w:val="008F5C7C"/>
    <w:rsid w:val="008F5D9B"/>
    <w:rsid w:val="008F6BE7"/>
    <w:rsid w:val="0090023B"/>
    <w:rsid w:val="00900ACC"/>
    <w:rsid w:val="009041DD"/>
    <w:rsid w:val="00904221"/>
    <w:rsid w:val="0090457D"/>
    <w:rsid w:val="00905F05"/>
    <w:rsid w:val="0090637D"/>
    <w:rsid w:val="00906800"/>
    <w:rsid w:val="00911496"/>
    <w:rsid w:val="00912785"/>
    <w:rsid w:val="00920739"/>
    <w:rsid w:val="00922433"/>
    <w:rsid w:val="0092487F"/>
    <w:rsid w:val="009268C9"/>
    <w:rsid w:val="00927C19"/>
    <w:rsid w:val="00932589"/>
    <w:rsid w:val="0093292A"/>
    <w:rsid w:val="00932CF2"/>
    <w:rsid w:val="00934801"/>
    <w:rsid w:val="00934A1A"/>
    <w:rsid w:val="00941306"/>
    <w:rsid w:val="009448DD"/>
    <w:rsid w:val="00946559"/>
    <w:rsid w:val="00946875"/>
    <w:rsid w:val="00950008"/>
    <w:rsid w:val="00954707"/>
    <w:rsid w:val="00956428"/>
    <w:rsid w:val="00956CA6"/>
    <w:rsid w:val="00956D64"/>
    <w:rsid w:val="009624D3"/>
    <w:rsid w:val="0096397B"/>
    <w:rsid w:val="00971014"/>
    <w:rsid w:val="00971E53"/>
    <w:rsid w:val="00973095"/>
    <w:rsid w:val="00982E65"/>
    <w:rsid w:val="00985D98"/>
    <w:rsid w:val="009A3C71"/>
    <w:rsid w:val="009B3B9D"/>
    <w:rsid w:val="009B40BB"/>
    <w:rsid w:val="009B459B"/>
    <w:rsid w:val="009B68A1"/>
    <w:rsid w:val="009B7DA6"/>
    <w:rsid w:val="009B7DCD"/>
    <w:rsid w:val="009C0EEE"/>
    <w:rsid w:val="009C487A"/>
    <w:rsid w:val="009D1427"/>
    <w:rsid w:val="009D32B8"/>
    <w:rsid w:val="009E1B88"/>
    <w:rsid w:val="009E3074"/>
    <w:rsid w:val="009E37C9"/>
    <w:rsid w:val="009E5B1A"/>
    <w:rsid w:val="009F2998"/>
    <w:rsid w:val="009F3D0A"/>
    <w:rsid w:val="009F4124"/>
    <w:rsid w:val="00A00CE5"/>
    <w:rsid w:val="00A02610"/>
    <w:rsid w:val="00A02767"/>
    <w:rsid w:val="00A076BD"/>
    <w:rsid w:val="00A111C9"/>
    <w:rsid w:val="00A119B7"/>
    <w:rsid w:val="00A13322"/>
    <w:rsid w:val="00A16573"/>
    <w:rsid w:val="00A171A4"/>
    <w:rsid w:val="00A20D49"/>
    <w:rsid w:val="00A23E26"/>
    <w:rsid w:val="00A24424"/>
    <w:rsid w:val="00A25F34"/>
    <w:rsid w:val="00A262EC"/>
    <w:rsid w:val="00A278D5"/>
    <w:rsid w:val="00A27E95"/>
    <w:rsid w:val="00A3182C"/>
    <w:rsid w:val="00A36CAE"/>
    <w:rsid w:val="00A46134"/>
    <w:rsid w:val="00A47F6E"/>
    <w:rsid w:val="00A57075"/>
    <w:rsid w:val="00A60822"/>
    <w:rsid w:val="00A61550"/>
    <w:rsid w:val="00A6312D"/>
    <w:rsid w:val="00A659E6"/>
    <w:rsid w:val="00A666D0"/>
    <w:rsid w:val="00A70EC8"/>
    <w:rsid w:val="00A710F5"/>
    <w:rsid w:val="00A730BE"/>
    <w:rsid w:val="00A74997"/>
    <w:rsid w:val="00A80448"/>
    <w:rsid w:val="00A826BB"/>
    <w:rsid w:val="00A8466F"/>
    <w:rsid w:val="00A854BC"/>
    <w:rsid w:val="00A85B43"/>
    <w:rsid w:val="00A86F4B"/>
    <w:rsid w:val="00AA4B75"/>
    <w:rsid w:val="00AB1AF1"/>
    <w:rsid w:val="00AB4CBC"/>
    <w:rsid w:val="00AB51A3"/>
    <w:rsid w:val="00AB5E22"/>
    <w:rsid w:val="00AC02B4"/>
    <w:rsid w:val="00AC1435"/>
    <w:rsid w:val="00AC3AB0"/>
    <w:rsid w:val="00AC3F47"/>
    <w:rsid w:val="00AD0B07"/>
    <w:rsid w:val="00AD1C1E"/>
    <w:rsid w:val="00AD3760"/>
    <w:rsid w:val="00AD54A3"/>
    <w:rsid w:val="00AE2CC1"/>
    <w:rsid w:val="00AF04A7"/>
    <w:rsid w:val="00AF08D9"/>
    <w:rsid w:val="00AF170C"/>
    <w:rsid w:val="00AF1EFE"/>
    <w:rsid w:val="00B01217"/>
    <w:rsid w:val="00B01E3E"/>
    <w:rsid w:val="00B0202D"/>
    <w:rsid w:val="00B02BD4"/>
    <w:rsid w:val="00B03943"/>
    <w:rsid w:val="00B10519"/>
    <w:rsid w:val="00B20FB8"/>
    <w:rsid w:val="00B21381"/>
    <w:rsid w:val="00B23B8B"/>
    <w:rsid w:val="00B251DE"/>
    <w:rsid w:val="00B30AAA"/>
    <w:rsid w:val="00B30EB5"/>
    <w:rsid w:val="00B31B4F"/>
    <w:rsid w:val="00B33F6F"/>
    <w:rsid w:val="00B34A11"/>
    <w:rsid w:val="00B351A9"/>
    <w:rsid w:val="00B406E6"/>
    <w:rsid w:val="00B43383"/>
    <w:rsid w:val="00B44087"/>
    <w:rsid w:val="00B476F0"/>
    <w:rsid w:val="00B47AFE"/>
    <w:rsid w:val="00B558D1"/>
    <w:rsid w:val="00B6151D"/>
    <w:rsid w:val="00B62675"/>
    <w:rsid w:val="00B63697"/>
    <w:rsid w:val="00B639BF"/>
    <w:rsid w:val="00B6487B"/>
    <w:rsid w:val="00B735ED"/>
    <w:rsid w:val="00B76F5B"/>
    <w:rsid w:val="00B77FC5"/>
    <w:rsid w:val="00B80A51"/>
    <w:rsid w:val="00B81338"/>
    <w:rsid w:val="00B92027"/>
    <w:rsid w:val="00B92CAE"/>
    <w:rsid w:val="00B92F3E"/>
    <w:rsid w:val="00B973F7"/>
    <w:rsid w:val="00BA15D0"/>
    <w:rsid w:val="00BA179C"/>
    <w:rsid w:val="00BA2ACA"/>
    <w:rsid w:val="00BA4568"/>
    <w:rsid w:val="00BB074F"/>
    <w:rsid w:val="00BB1159"/>
    <w:rsid w:val="00BB48BA"/>
    <w:rsid w:val="00BC4F80"/>
    <w:rsid w:val="00BD044B"/>
    <w:rsid w:val="00BD159E"/>
    <w:rsid w:val="00BD463A"/>
    <w:rsid w:val="00BD5885"/>
    <w:rsid w:val="00BD7704"/>
    <w:rsid w:val="00BE01BD"/>
    <w:rsid w:val="00BE426C"/>
    <w:rsid w:val="00BE4643"/>
    <w:rsid w:val="00BE4901"/>
    <w:rsid w:val="00BE68D0"/>
    <w:rsid w:val="00BF19E1"/>
    <w:rsid w:val="00BF2375"/>
    <w:rsid w:val="00BF2661"/>
    <w:rsid w:val="00C07F16"/>
    <w:rsid w:val="00C1334C"/>
    <w:rsid w:val="00C145BF"/>
    <w:rsid w:val="00C1666F"/>
    <w:rsid w:val="00C16F94"/>
    <w:rsid w:val="00C17ECE"/>
    <w:rsid w:val="00C21160"/>
    <w:rsid w:val="00C22DF2"/>
    <w:rsid w:val="00C27A30"/>
    <w:rsid w:val="00C34EF6"/>
    <w:rsid w:val="00C36E3A"/>
    <w:rsid w:val="00C41227"/>
    <w:rsid w:val="00C4193C"/>
    <w:rsid w:val="00C43FD2"/>
    <w:rsid w:val="00C44624"/>
    <w:rsid w:val="00C44C10"/>
    <w:rsid w:val="00C51037"/>
    <w:rsid w:val="00C5280A"/>
    <w:rsid w:val="00C5749D"/>
    <w:rsid w:val="00C6030C"/>
    <w:rsid w:val="00C61CCF"/>
    <w:rsid w:val="00C742DD"/>
    <w:rsid w:val="00C75C49"/>
    <w:rsid w:val="00C76FC6"/>
    <w:rsid w:val="00C835C9"/>
    <w:rsid w:val="00C86B3A"/>
    <w:rsid w:val="00C9093C"/>
    <w:rsid w:val="00C919E0"/>
    <w:rsid w:val="00C91DD9"/>
    <w:rsid w:val="00C91E6C"/>
    <w:rsid w:val="00CA627D"/>
    <w:rsid w:val="00CB10A7"/>
    <w:rsid w:val="00CB2C77"/>
    <w:rsid w:val="00CC0288"/>
    <w:rsid w:val="00CC258B"/>
    <w:rsid w:val="00CC2614"/>
    <w:rsid w:val="00CD0BAB"/>
    <w:rsid w:val="00CD307D"/>
    <w:rsid w:val="00CD30FC"/>
    <w:rsid w:val="00CD328A"/>
    <w:rsid w:val="00CE3CDB"/>
    <w:rsid w:val="00CE522B"/>
    <w:rsid w:val="00CE6118"/>
    <w:rsid w:val="00CE64D3"/>
    <w:rsid w:val="00CE695B"/>
    <w:rsid w:val="00CE7C9A"/>
    <w:rsid w:val="00CF2A8D"/>
    <w:rsid w:val="00CF6601"/>
    <w:rsid w:val="00D0054E"/>
    <w:rsid w:val="00D01EE0"/>
    <w:rsid w:val="00D02ED1"/>
    <w:rsid w:val="00D03499"/>
    <w:rsid w:val="00D04D82"/>
    <w:rsid w:val="00D07275"/>
    <w:rsid w:val="00D07E49"/>
    <w:rsid w:val="00D110EB"/>
    <w:rsid w:val="00D11A91"/>
    <w:rsid w:val="00D13811"/>
    <w:rsid w:val="00D13BF1"/>
    <w:rsid w:val="00D17573"/>
    <w:rsid w:val="00D25005"/>
    <w:rsid w:val="00D258E3"/>
    <w:rsid w:val="00D30371"/>
    <w:rsid w:val="00D32993"/>
    <w:rsid w:val="00D33F91"/>
    <w:rsid w:val="00D34147"/>
    <w:rsid w:val="00D37B7D"/>
    <w:rsid w:val="00D505CB"/>
    <w:rsid w:val="00D507FB"/>
    <w:rsid w:val="00D53D39"/>
    <w:rsid w:val="00D54767"/>
    <w:rsid w:val="00D5613E"/>
    <w:rsid w:val="00D57614"/>
    <w:rsid w:val="00D602E6"/>
    <w:rsid w:val="00D60E81"/>
    <w:rsid w:val="00D615A6"/>
    <w:rsid w:val="00D61CD6"/>
    <w:rsid w:val="00D61D9D"/>
    <w:rsid w:val="00D621D7"/>
    <w:rsid w:val="00D74B46"/>
    <w:rsid w:val="00D77948"/>
    <w:rsid w:val="00D9049D"/>
    <w:rsid w:val="00D90D44"/>
    <w:rsid w:val="00D942A7"/>
    <w:rsid w:val="00DA25B4"/>
    <w:rsid w:val="00DA5343"/>
    <w:rsid w:val="00DA6810"/>
    <w:rsid w:val="00DB007A"/>
    <w:rsid w:val="00DB1781"/>
    <w:rsid w:val="00DB25B0"/>
    <w:rsid w:val="00DB415C"/>
    <w:rsid w:val="00DC0E7E"/>
    <w:rsid w:val="00DC25C9"/>
    <w:rsid w:val="00DC2955"/>
    <w:rsid w:val="00DC4302"/>
    <w:rsid w:val="00DC720D"/>
    <w:rsid w:val="00DC74F3"/>
    <w:rsid w:val="00DD2C24"/>
    <w:rsid w:val="00DD6114"/>
    <w:rsid w:val="00DE20EB"/>
    <w:rsid w:val="00DE6AE2"/>
    <w:rsid w:val="00DF2898"/>
    <w:rsid w:val="00DF3D2A"/>
    <w:rsid w:val="00DF4A68"/>
    <w:rsid w:val="00DF6828"/>
    <w:rsid w:val="00E027A0"/>
    <w:rsid w:val="00E03FE5"/>
    <w:rsid w:val="00E05523"/>
    <w:rsid w:val="00E06459"/>
    <w:rsid w:val="00E07776"/>
    <w:rsid w:val="00E101E4"/>
    <w:rsid w:val="00E11441"/>
    <w:rsid w:val="00E13AC2"/>
    <w:rsid w:val="00E1515D"/>
    <w:rsid w:val="00E211DB"/>
    <w:rsid w:val="00E263BF"/>
    <w:rsid w:val="00E3031B"/>
    <w:rsid w:val="00E361C7"/>
    <w:rsid w:val="00E36C35"/>
    <w:rsid w:val="00E42569"/>
    <w:rsid w:val="00E530A0"/>
    <w:rsid w:val="00E56D5D"/>
    <w:rsid w:val="00E6532A"/>
    <w:rsid w:val="00E67553"/>
    <w:rsid w:val="00E7272F"/>
    <w:rsid w:val="00E73F0F"/>
    <w:rsid w:val="00E77FFE"/>
    <w:rsid w:val="00E810AA"/>
    <w:rsid w:val="00E81B10"/>
    <w:rsid w:val="00E83D68"/>
    <w:rsid w:val="00E877BD"/>
    <w:rsid w:val="00E9330A"/>
    <w:rsid w:val="00E952C6"/>
    <w:rsid w:val="00E97DA2"/>
    <w:rsid w:val="00EA3D9E"/>
    <w:rsid w:val="00EA678E"/>
    <w:rsid w:val="00EA7B8C"/>
    <w:rsid w:val="00EB3936"/>
    <w:rsid w:val="00EB3D86"/>
    <w:rsid w:val="00EB4B64"/>
    <w:rsid w:val="00EB5B97"/>
    <w:rsid w:val="00EB62DC"/>
    <w:rsid w:val="00EB7092"/>
    <w:rsid w:val="00EC1470"/>
    <w:rsid w:val="00EC52F7"/>
    <w:rsid w:val="00EC58D9"/>
    <w:rsid w:val="00EC5ACB"/>
    <w:rsid w:val="00EC5DE3"/>
    <w:rsid w:val="00ED21FD"/>
    <w:rsid w:val="00ED3941"/>
    <w:rsid w:val="00ED5F26"/>
    <w:rsid w:val="00EE0882"/>
    <w:rsid w:val="00EE10DA"/>
    <w:rsid w:val="00EE2516"/>
    <w:rsid w:val="00EE2C7F"/>
    <w:rsid w:val="00EE4D5F"/>
    <w:rsid w:val="00EE61F0"/>
    <w:rsid w:val="00EE6F2C"/>
    <w:rsid w:val="00EE7D8C"/>
    <w:rsid w:val="00EF09BF"/>
    <w:rsid w:val="00EF2449"/>
    <w:rsid w:val="00EF3D83"/>
    <w:rsid w:val="00EF41E0"/>
    <w:rsid w:val="00F008B6"/>
    <w:rsid w:val="00F01D32"/>
    <w:rsid w:val="00F0329C"/>
    <w:rsid w:val="00F0505A"/>
    <w:rsid w:val="00F12A34"/>
    <w:rsid w:val="00F13127"/>
    <w:rsid w:val="00F14430"/>
    <w:rsid w:val="00F1523D"/>
    <w:rsid w:val="00F165CB"/>
    <w:rsid w:val="00F1731B"/>
    <w:rsid w:val="00F24804"/>
    <w:rsid w:val="00F251F2"/>
    <w:rsid w:val="00F3056C"/>
    <w:rsid w:val="00F30D86"/>
    <w:rsid w:val="00F3158F"/>
    <w:rsid w:val="00F33C7B"/>
    <w:rsid w:val="00F36594"/>
    <w:rsid w:val="00F44D8A"/>
    <w:rsid w:val="00F46EAF"/>
    <w:rsid w:val="00F504E6"/>
    <w:rsid w:val="00F5204B"/>
    <w:rsid w:val="00F524B4"/>
    <w:rsid w:val="00F52B33"/>
    <w:rsid w:val="00F53780"/>
    <w:rsid w:val="00F56D11"/>
    <w:rsid w:val="00F60A08"/>
    <w:rsid w:val="00F63B80"/>
    <w:rsid w:val="00F715A2"/>
    <w:rsid w:val="00F71908"/>
    <w:rsid w:val="00F73350"/>
    <w:rsid w:val="00F743CB"/>
    <w:rsid w:val="00F7478A"/>
    <w:rsid w:val="00F82A31"/>
    <w:rsid w:val="00F82E1B"/>
    <w:rsid w:val="00F84099"/>
    <w:rsid w:val="00F86E7D"/>
    <w:rsid w:val="00F96F26"/>
    <w:rsid w:val="00FA02C1"/>
    <w:rsid w:val="00FA04C9"/>
    <w:rsid w:val="00FA1495"/>
    <w:rsid w:val="00FA4B2E"/>
    <w:rsid w:val="00FA7A1B"/>
    <w:rsid w:val="00FA7BBE"/>
    <w:rsid w:val="00FB51CE"/>
    <w:rsid w:val="00FB5B93"/>
    <w:rsid w:val="00FB77E2"/>
    <w:rsid w:val="00FB7F34"/>
    <w:rsid w:val="00FC1AB9"/>
    <w:rsid w:val="00FC2101"/>
    <w:rsid w:val="00FC2B9C"/>
    <w:rsid w:val="00FC366F"/>
    <w:rsid w:val="00FC52C2"/>
    <w:rsid w:val="00FC6AC9"/>
    <w:rsid w:val="00FD1C0F"/>
    <w:rsid w:val="00FD2FF0"/>
    <w:rsid w:val="00FD6486"/>
    <w:rsid w:val="00FE0156"/>
    <w:rsid w:val="00FE347D"/>
    <w:rsid w:val="00FF1605"/>
    <w:rsid w:val="00FF6875"/>
    <w:rsid w:val="00FF691D"/>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CE676"/>
  <w15:chartTrackingRefBased/>
  <w15:docId w15:val="{B2DAA47A-C089-4611-B6A8-479DD855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A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E12"/>
    <w:pPr>
      <w:ind w:left="720"/>
      <w:contextualSpacing/>
    </w:pPr>
  </w:style>
  <w:style w:type="paragraph" w:styleId="FootnoteText">
    <w:name w:val="footnote text"/>
    <w:basedOn w:val="Normal"/>
    <w:link w:val="FootnoteTextChar"/>
    <w:uiPriority w:val="99"/>
    <w:semiHidden/>
    <w:unhideWhenUsed/>
    <w:rsid w:val="007031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318E"/>
    <w:rPr>
      <w:sz w:val="20"/>
      <w:szCs w:val="20"/>
    </w:rPr>
  </w:style>
  <w:style w:type="character" w:styleId="FootnoteReference">
    <w:name w:val="footnote reference"/>
    <w:basedOn w:val="DefaultParagraphFont"/>
    <w:uiPriority w:val="99"/>
    <w:semiHidden/>
    <w:unhideWhenUsed/>
    <w:rsid w:val="0070318E"/>
    <w:rPr>
      <w:vertAlign w:val="superscript"/>
    </w:rPr>
  </w:style>
  <w:style w:type="table" w:styleId="TableGrid">
    <w:name w:val="Table Grid"/>
    <w:basedOn w:val="TableNormal"/>
    <w:uiPriority w:val="39"/>
    <w:rsid w:val="00624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31B"/>
    <w:rPr>
      <w:color w:val="0563C1" w:themeColor="hyperlink"/>
      <w:u w:val="single"/>
    </w:rPr>
  </w:style>
  <w:style w:type="paragraph" w:styleId="BalloonText">
    <w:name w:val="Balloon Text"/>
    <w:basedOn w:val="Normal"/>
    <w:link w:val="BalloonTextChar"/>
    <w:uiPriority w:val="99"/>
    <w:semiHidden/>
    <w:unhideWhenUsed/>
    <w:rsid w:val="00BD0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44B"/>
    <w:rPr>
      <w:rFonts w:ascii="Segoe UI" w:hAnsi="Segoe UI" w:cs="Segoe UI"/>
      <w:sz w:val="18"/>
      <w:szCs w:val="18"/>
    </w:rPr>
  </w:style>
  <w:style w:type="character" w:customStyle="1" w:styleId="Heading1Char">
    <w:name w:val="Heading 1 Char"/>
    <w:basedOn w:val="DefaultParagraphFont"/>
    <w:link w:val="Heading1"/>
    <w:uiPriority w:val="9"/>
    <w:rsid w:val="00085A5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85A56"/>
    <w:pPr>
      <w:outlineLvl w:val="9"/>
    </w:pPr>
    <w:rPr>
      <w:lang w:val="en-US"/>
    </w:rPr>
  </w:style>
  <w:style w:type="paragraph" w:styleId="TOC1">
    <w:name w:val="toc 1"/>
    <w:basedOn w:val="Normal"/>
    <w:next w:val="Normal"/>
    <w:autoRedefine/>
    <w:uiPriority w:val="39"/>
    <w:unhideWhenUsed/>
    <w:rsid w:val="00E810AA"/>
    <w:pPr>
      <w:tabs>
        <w:tab w:val="left" w:pos="851"/>
        <w:tab w:val="right" w:leader="dot" w:pos="9016"/>
      </w:tabs>
      <w:spacing w:after="0" w:line="300" w:lineRule="atLeast"/>
      <w:ind w:left="851" w:hanging="851"/>
    </w:pPr>
  </w:style>
  <w:style w:type="character" w:styleId="CommentReference">
    <w:name w:val="annotation reference"/>
    <w:basedOn w:val="DefaultParagraphFont"/>
    <w:uiPriority w:val="99"/>
    <w:semiHidden/>
    <w:unhideWhenUsed/>
    <w:rsid w:val="00D0054E"/>
    <w:rPr>
      <w:sz w:val="16"/>
      <w:szCs w:val="16"/>
    </w:rPr>
  </w:style>
  <w:style w:type="paragraph" w:styleId="CommentText">
    <w:name w:val="annotation text"/>
    <w:basedOn w:val="Normal"/>
    <w:link w:val="CommentTextChar"/>
    <w:uiPriority w:val="99"/>
    <w:semiHidden/>
    <w:unhideWhenUsed/>
    <w:rsid w:val="00D0054E"/>
    <w:pPr>
      <w:spacing w:line="240" w:lineRule="auto"/>
    </w:pPr>
    <w:rPr>
      <w:sz w:val="20"/>
      <w:szCs w:val="20"/>
    </w:rPr>
  </w:style>
  <w:style w:type="character" w:customStyle="1" w:styleId="CommentTextChar">
    <w:name w:val="Comment Text Char"/>
    <w:basedOn w:val="DefaultParagraphFont"/>
    <w:link w:val="CommentText"/>
    <w:uiPriority w:val="99"/>
    <w:semiHidden/>
    <w:rsid w:val="00D0054E"/>
    <w:rPr>
      <w:sz w:val="20"/>
      <w:szCs w:val="20"/>
    </w:rPr>
  </w:style>
  <w:style w:type="paragraph" w:styleId="CommentSubject">
    <w:name w:val="annotation subject"/>
    <w:basedOn w:val="CommentText"/>
    <w:next w:val="CommentText"/>
    <w:link w:val="CommentSubjectChar"/>
    <w:uiPriority w:val="99"/>
    <w:semiHidden/>
    <w:unhideWhenUsed/>
    <w:rsid w:val="00D0054E"/>
    <w:rPr>
      <w:b/>
      <w:bCs/>
    </w:rPr>
  </w:style>
  <w:style w:type="character" w:customStyle="1" w:styleId="CommentSubjectChar">
    <w:name w:val="Comment Subject Char"/>
    <w:basedOn w:val="CommentTextChar"/>
    <w:link w:val="CommentSubject"/>
    <w:uiPriority w:val="99"/>
    <w:semiHidden/>
    <w:rsid w:val="00D0054E"/>
    <w:rPr>
      <w:b/>
      <w:bCs/>
      <w:sz w:val="20"/>
      <w:szCs w:val="20"/>
    </w:rPr>
  </w:style>
  <w:style w:type="paragraph" w:styleId="Header">
    <w:name w:val="header"/>
    <w:basedOn w:val="Normal"/>
    <w:link w:val="HeaderChar"/>
    <w:uiPriority w:val="99"/>
    <w:unhideWhenUsed/>
    <w:rsid w:val="00A70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EC8"/>
  </w:style>
  <w:style w:type="paragraph" w:styleId="Footer">
    <w:name w:val="footer"/>
    <w:basedOn w:val="Normal"/>
    <w:link w:val="FooterChar"/>
    <w:uiPriority w:val="99"/>
    <w:unhideWhenUsed/>
    <w:rsid w:val="00A70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EC8"/>
  </w:style>
  <w:style w:type="paragraph" w:styleId="Caption">
    <w:name w:val="caption"/>
    <w:basedOn w:val="Normal"/>
    <w:next w:val="Normal"/>
    <w:uiPriority w:val="35"/>
    <w:unhideWhenUsed/>
    <w:qFormat/>
    <w:rsid w:val="00451DA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38206">
      <w:bodyDiv w:val="1"/>
      <w:marLeft w:val="0"/>
      <w:marRight w:val="0"/>
      <w:marTop w:val="0"/>
      <w:marBottom w:val="0"/>
      <w:divBdr>
        <w:top w:val="none" w:sz="0" w:space="0" w:color="auto"/>
        <w:left w:val="none" w:sz="0" w:space="0" w:color="auto"/>
        <w:bottom w:val="none" w:sz="0" w:space="0" w:color="auto"/>
        <w:right w:val="none" w:sz="0" w:space="0" w:color="auto"/>
      </w:divBdr>
    </w:div>
    <w:div w:id="1272204622">
      <w:bodyDiv w:val="1"/>
      <w:marLeft w:val="0"/>
      <w:marRight w:val="0"/>
      <w:marTop w:val="0"/>
      <w:marBottom w:val="0"/>
      <w:divBdr>
        <w:top w:val="none" w:sz="0" w:space="0" w:color="auto"/>
        <w:left w:val="none" w:sz="0" w:space="0" w:color="auto"/>
        <w:bottom w:val="none" w:sz="0" w:space="0" w:color="auto"/>
        <w:right w:val="none" w:sz="0" w:space="0" w:color="auto"/>
      </w:divBdr>
    </w:div>
    <w:div w:id="1338732183">
      <w:bodyDiv w:val="1"/>
      <w:marLeft w:val="0"/>
      <w:marRight w:val="0"/>
      <w:marTop w:val="0"/>
      <w:marBottom w:val="0"/>
      <w:divBdr>
        <w:top w:val="none" w:sz="0" w:space="0" w:color="auto"/>
        <w:left w:val="none" w:sz="0" w:space="0" w:color="auto"/>
        <w:bottom w:val="none" w:sz="0" w:space="0" w:color="auto"/>
        <w:right w:val="none" w:sz="0" w:space="0" w:color="auto"/>
      </w:divBdr>
    </w:div>
    <w:div w:id="20463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northwestrsmp.org.uk/statistics" TargetMode="External"/><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2" Type="http://schemas.openxmlformats.org/officeDocument/2006/relationships/hyperlink" Target="https://www.ons.gov.uk/visualisations/housingpriceslocal/E07000120/" TargetMode="External"/><Relationship Id="rId1" Type="http://schemas.openxmlformats.org/officeDocument/2006/relationships/hyperlink" Target="https://www.gov.uk/government/publications/english-indices-of-deprivation-2019-technic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BC87A-9A84-46A7-BB8A-ED03D40B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5011</TotalTime>
  <Pages>55</Pages>
  <Words>14211</Words>
  <Characters>81003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Shanshan Chen</dc:creator>
  <cp:keywords/>
  <dc:description/>
  <cp:lastModifiedBy>Adam Birkett</cp:lastModifiedBy>
  <cp:revision>21</cp:revision>
  <cp:lastPrinted>2024-11-29T17:39:00Z</cp:lastPrinted>
  <dcterms:created xsi:type="dcterms:W3CDTF">2026-02-16T06:43:00Z</dcterms:created>
  <dcterms:modified xsi:type="dcterms:W3CDTF">2026-03-05T20:11:00Z</dcterms:modified>
</cp:coreProperties>
</file>